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50" w:rsidRDefault="001600BD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4F2050" w:rsidRDefault="001600BD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广西师范大学全日制普通本科专业实践教学课程一览表</w:t>
      </w:r>
    </w:p>
    <w:p w:rsidR="004F2050" w:rsidRDefault="004F2050">
      <w:pPr>
        <w:autoSpaceDE w:val="0"/>
        <w:autoSpaceDN w:val="0"/>
        <w:adjustRightInd w:val="0"/>
        <w:jc w:val="left"/>
        <w:rPr>
          <w:rFonts w:ascii="黑体" w:eastAsia="黑体" w:hAnsi="黑体" w:cs="黑体"/>
          <w:kern w:val="0"/>
          <w:sz w:val="24"/>
          <w:szCs w:val="24"/>
        </w:rPr>
      </w:pPr>
    </w:p>
    <w:tbl>
      <w:tblPr>
        <w:tblW w:w="2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1"/>
        <w:gridCol w:w="1107"/>
        <w:gridCol w:w="452"/>
        <w:gridCol w:w="1843"/>
        <w:gridCol w:w="2385"/>
        <w:gridCol w:w="709"/>
        <w:gridCol w:w="803"/>
        <w:gridCol w:w="720"/>
        <w:gridCol w:w="659"/>
        <w:gridCol w:w="783"/>
        <w:gridCol w:w="850"/>
        <w:gridCol w:w="738"/>
        <w:gridCol w:w="900"/>
        <w:gridCol w:w="1180"/>
        <w:gridCol w:w="1670"/>
        <w:gridCol w:w="1386"/>
        <w:gridCol w:w="1299"/>
      </w:tblGrid>
      <w:tr w:rsidR="004F2050" w:rsidTr="005319B4">
        <w:trPr>
          <w:cantSplit/>
          <w:trHeight w:val="174"/>
          <w:jc w:val="center"/>
        </w:trPr>
        <w:tc>
          <w:tcPr>
            <w:tcW w:w="2268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课程平台</w:t>
            </w:r>
          </w:p>
        </w:tc>
        <w:tc>
          <w:tcPr>
            <w:tcW w:w="711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559" w:type="dxa"/>
            <w:gridSpan w:val="2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843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2385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709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总学分</w:t>
            </w:r>
          </w:p>
        </w:tc>
        <w:tc>
          <w:tcPr>
            <w:tcW w:w="803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理论讲授学分</w:t>
            </w:r>
          </w:p>
        </w:tc>
        <w:tc>
          <w:tcPr>
            <w:tcW w:w="720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实验实训学分</w:t>
            </w:r>
          </w:p>
        </w:tc>
        <w:tc>
          <w:tcPr>
            <w:tcW w:w="659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83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理论讲授学时</w:t>
            </w:r>
          </w:p>
        </w:tc>
        <w:tc>
          <w:tcPr>
            <w:tcW w:w="850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实验实训学时</w:t>
            </w:r>
          </w:p>
        </w:tc>
        <w:tc>
          <w:tcPr>
            <w:tcW w:w="738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900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180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成绩比例</w:t>
            </w:r>
          </w:p>
        </w:tc>
        <w:tc>
          <w:tcPr>
            <w:tcW w:w="1670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386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299" w:type="dxa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SB28002913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军事技能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Military Training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武装部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SB28001032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专业见习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P</w:t>
            </w:r>
            <w:r w:rsidRPr="005319B4">
              <w:rPr>
                <w:kern w:val="0"/>
                <w:sz w:val="24"/>
                <w:szCs w:val="24"/>
              </w:rPr>
              <w:t>rofessional Apprentices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1-7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 w:colFirst="0" w:colLast="15"/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SB280010</w:t>
            </w:r>
            <w:r w:rsidRPr="005319B4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专业实习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Professional Practice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3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3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8</w:t>
            </w:r>
            <w:r w:rsidRPr="005319B4">
              <w:rPr>
                <w:rFonts w:hint="eastAsia"/>
                <w:kern w:val="0"/>
                <w:sz w:val="24"/>
                <w:szCs w:val="24"/>
              </w:rPr>
              <w:t>/12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8</w:t>
            </w:r>
            <w:r w:rsidRPr="005319B4">
              <w:rPr>
                <w:rFonts w:hint="eastAsia"/>
                <w:kern w:val="0"/>
                <w:sz w:val="24"/>
                <w:szCs w:val="24"/>
              </w:rPr>
              <w:t>/12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6/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SB28001002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教育见习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Teaching Observation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1</w:t>
            </w:r>
            <w:r w:rsidRPr="005319B4">
              <w:rPr>
                <w:kern w:val="0"/>
                <w:sz w:val="24"/>
                <w:szCs w:val="24"/>
              </w:rPr>
              <w:t>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-7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SB28001010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教育实习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Teaching Practice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4.0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4.0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6/7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SB28001003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教育研习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Research on Teaching Practice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-7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SB28001041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毕业论文</w:t>
            </w:r>
          </w:p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（设计）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Graduation Thesis (Design)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0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7-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bookmarkEnd w:id="0"/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SB28002713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Social Practice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2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1-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CC50AA">
        <w:trPr>
          <w:cantSplit/>
          <w:jc w:val="center"/>
        </w:trPr>
        <w:tc>
          <w:tcPr>
            <w:tcW w:w="226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5319B4">
              <w:rPr>
                <w:rFonts w:ascii="宋体" w:hAnsi="宋体" w:hint="eastAsia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11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gridSpan w:val="2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SB2800</w:t>
            </w: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3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713</w:t>
            </w:r>
          </w:p>
        </w:tc>
        <w:tc>
          <w:tcPr>
            <w:tcW w:w="184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劳动教育</w:t>
            </w:r>
          </w:p>
        </w:tc>
        <w:tc>
          <w:tcPr>
            <w:tcW w:w="2385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L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 xml:space="preserve">abor </w:t>
            </w: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E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ducation</w:t>
            </w:r>
          </w:p>
        </w:tc>
        <w:tc>
          <w:tcPr>
            <w:tcW w:w="70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03" w:type="dxa"/>
            <w:vAlign w:val="center"/>
          </w:tcPr>
          <w:p w:rsidR="00CC50AA" w:rsidRPr="005319B4" w:rsidRDefault="00CC50AA" w:rsidP="00223C37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2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59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783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1-</w:t>
            </w:r>
            <w:r w:rsidRPr="005319B4"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5319B4"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1386" w:type="dxa"/>
            <w:vAlign w:val="center"/>
          </w:tcPr>
          <w:p w:rsidR="00CC50AA" w:rsidRPr="005319B4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5319B4">
              <w:rPr>
                <w:rFonts w:cs="Times New Roman" w:hint="eastAsia"/>
                <w:kern w:val="0"/>
                <w:sz w:val="24"/>
                <w:szCs w:val="24"/>
              </w:rPr>
              <w:t>实验课</w:t>
            </w:r>
          </w:p>
        </w:tc>
        <w:tc>
          <w:tcPr>
            <w:tcW w:w="1299" w:type="dxa"/>
            <w:vAlign w:val="center"/>
          </w:tcPr>
          <w:p w:rsidR="00CC50AA" w:rsidRDefault="00CC50AA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4F2050">
        <w:trPr>
          <w:cantSplit/>
          <w:trHeight w:val="1632"/>
          <w:jc w:val="center"/>
        </w:trPr>
        <w:tc>
          <w:tcPr>
            <w:tcW w:w="2979" w:type="dxa"/>
            <w:gridSpan w:val="2"/>
            <w:vAlign w:val="center"/>
          </w:tcPr>
          <w:p w:rsidR="004F2050" w:rsidRDefault="001600BD"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107" w:type="dxa"/>
            <w:vAlign w:val="center"/>
          </w:tcPr>
          <w:p w:rsidR="004F2050" w:rsidRDefault="004F2050">
            <w:pPr>
              <w:widowControl w:val="0"/>
              <w:snapToGrid w:val="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7" w:type="dxa"/>
            <w:gridSpan w:val="15"/>
            <w:vAlign w:val="center"/>
          </w:tcPr>
          <w:p w:rsidR="004F2050" w:rsidRDefault="001600BD">
            <w:pPr>
              <w:widowControl w:val="0"/>
              <w:numPr>
                <w:ilvl w:val="0"/>
                <w:numId w:val="1"/>
              </w:numPr>
              <w:snapToGri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《军事技能》训练时间不得少于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14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天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112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学时。</w:t>
            </w:r>
          </w:p>
          <w:p w:rsidR="004F2050" w:rsidRDefault="001600BD">
            <w:pPr>
              <w:widowControl w:val="0"/>
              <w:snapToGri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师范类专业开设教育见习、教育实习、教育研习，非师范类专业开设专业见习、专业实习。</w:t>
            </w:r>
          </w:p>
          <w:p w:rsidR="004F2050" w:rsidRDefault="001600BD">
            <w:pPr>
              <w:widowControl w:val="0"/>
              <w:snapToGri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见习、研习等根据课程教学的需要灵活安排。</w:t>
            </w:r>
          </w:p>
          <w:p w:rsidR="004F2050" w:rsidRDefault="001600BD">
            <w:pPr>
              <w:widowControl w:val="0"/>
              <w:snapToGri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多学期开课的课程，成绩在最后一学期录入。</w:t>
            </w:r>
          </w:p>
          <w:p w:rsidR="004F2050" w:rsidRDefault="001600BD">
            <w:pPr>
              <w:widowControl w:val="0"/>
              <w:snapToGri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本平台中的学时数以周为单位。</w:t>
            </w:r>
          </w:p>
        </w:tc>
      </w:tr>
    </w:tbl>
    <w:p w:rsidR="004F2050" w:rsidRDefault="004F2050">
      <w:pPr>
        <w:autoSpaceDE w:val="0"/>
        <w:autoSpaceDN w:val="0"/>
        <w:adjustRightInd w:val="0"/>
        <w:jc w:val="left"/>
        <w:rPr>
          <w:rFonts w:eastAsia="Times New Roman" w:cs="Times New Roman"/>
          <w:kern w:val="0"/>
          <w:sz w:val="24"/>
          <w:szCs w:val="24"/>
        </w:rPr>
      </w:pPr>
    </w:p>
    <w:sectPr w:rsidR="004F2050">
      <w:pgSz w:w="23757" w:h="16783" w:orient="landscape"/>
      <w:pgMar w:top="1531" w:right="1417" w:bottom="1417" w:left="1417" w:header="851" w:footer="1474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B1" w:rsidRDefault="007C14B1" w:rsidP="00CC50AA">
      <w:r>
        <w:separator/>
      </w:r>
    </w:p>
  </w:endnote>
  <w:endnote w:type="continuationSeparator" w:id="0">
    <w:p w:rsidR="007C14B1" w:rsidRDefault="007C14B1" w:rsidP="00CC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B1" w:rsidRDefault="007C14B1" w:rsidP="00CC50AA">
      <w:r>
        <w:separator/>
      </w:r>
    </w:p>
  </w:footnote>
  <w:footnote w:type="continuationSeparator" w:id="0">
    <w:p w:rsidR="007C14B1" w:rsidRDefault="007C14B1" w:rsidP="00CC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01BB1"/>
    <w:multiLevelType w:val="singleLevel"/>
    <w:tmpl w:val="8E601BB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5"/>
  <w:drawingGridHorizontalSpacing w:val="105"/>
  <w:drawingGridVerticalSpacing w:val="159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57"/>
    <w:rsid w:val="00030AEA"/>
    <w:rsid w:val="00113FD6"/>
    <w:rsid w:val="00120FD9"/>
    <w:rsid w:val="001600BD"/>
    <w:rsid w:val="001A2D46"/>
    <w:rsid w:val="002039FE"/>
    <w:rsid w:val="002369F7"/>
    <w:rsid w:val="003600A9"/>
    <w:rsid w:val="003A2EED"/>
    <w:rsid w:val="00462385"/>
    <w:rsid w:val="004B6C44"/>
    <w:rsid w:val="004B7FCE"/>
    <w:rsid w:val="004F2050"/>
    <w:rsid w:val="005319B4"/>
    <w:rsid w:val="006A3A59"/>
    <w:rsid w:val="00735B57"/>
    <w:rsid w:val="007C14B1"/>
    <w:rsid w:val="00890629"/>
    <w:rsid w:val="00964AE1"/>
    <w:rsid w:val="00B26914"/>
    <w:rsid w:val="00BB5511"/>
    <w:rsid w:val="00BE620F"/>
    <w:rsid w:val="00C55E16"/>
    <w:rsid w:val="00CC50AA"/>
    <w:rsid w:val="00D50C83"/>
    <w:rsid w:val="00F67BC1"/>
    <w:rsid w:val="00FF36DD"/>
    <w:rsid w:val="0AB06E54"/>
    <w:rsid w:val="14FE74D1"/>
    <w:rsid w:val="1FDD5861"/>
    <w:rsid w:val="256A241E"/>
    <w:rsid w:val="26557995"/>
    <w:rsid w:val="2B78258E"/>
    <w:rsid w:val="2E5D6944"/>
    <w:rsid w:val="2FBD5B50"/>
    <w:rsid w:val="3A870E8E"/>
    <w:rsid w:val="3F7637FD"/>
    <w:rsid w:val="4022794D"/>
    <w:rsid w:val="51837E0E"/>
    <w:rsid w:val="558E08BE"/>
    <w:rsid w:val="5781489E"/>
    <w:rsid w:val="59267BF8"/>
    <w:rsid w:val="5B222CF5"/>
    <w:rsid w:val="5DF525C0"/>
    <w:rsid w:val="5EE87CE5"/>
    <w:rsid w:val="5F4967A7"/>
    <w:rsid w:val="6A0E72A3"/>
    <w:rsid w:val="6B3F3911"/>
    <w:rsid w:val="6B8A3131"/>
    <w:rsid w:val="6E2F745F"/>
    <w:rsid w:val="72EF1D60"/>
    <w:rsid w:val="758368CC"/>
    <w:rsid w:val="78E63312"/>
    <w:rsid w:val="7A113A93"/>
    <w:rsid w:val="7B732237"/>
    <w:rsid w:val="7F5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HeaderChar">
    <w:name w:val="Header Char"/>
    <w:uiPriority w:val="99"/>
    <w:qFormat/>
    <w:locked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qFormat/>
    <w:locked/>
    <w:rPr>
      <w:rFonts w:cs="Times New Roman"/>
      <w:sz w:val="21"/>
      <w:szCs w:val="21"/>
    </w:rPr>
  </w:style>
  <w:style w:type="character" w:customStyle="1" w:styleId="FooterChar">
    <w:name w:val="Footer Char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cs="宋体"/>
      <w:sz w:val="21"/>
      <w:szCs w:val="21"/>
    </w:rPr>
  </w:style>
  <w:style w:type="character" w:customStyle="1" w:styleId="Char10">
    <w:name w:val="批注文字 Char1"/>
    <w:basedOn w:val="a0"/>
    <w:uiPriority w:val="99"/>
    <w:semiHidden/>
    <w:qFormat/>
    <w:rPr>
      <w:rFonts w:cs="宋体"/>
      <w:sz w:val="21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宋体"/>
      <w:sz w:val="18"/>
      <w:szCs w:val="18"/>
    </w:rPr>
  </w:style>
  <w:style w:type="character" w:customStyle="1" w:styleId="Char11">
    <w:name w:val="页眉 Char1"/>
    <w:basedOn w:val="a0"/>
    <w:uiPriority w:val="99"/>
    <w:semiHidden/>
    <w:qFormat/>
    <w:rPr>
      <w:rFonts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宋体"/>
      <w:sz w:val="18"/>
      <w:szCs w:val="18"/>
    </w:rPr>
  </w:style>
  <w:style w:type="character" w:customStyle="1" w:styleId="Char12">
    <w:name w:val="页脚 Char1"/>
    <w:basedOn w:val="a0"/>
    <w:uiPriority w:val="99"/>
    <w:semiHidden/>
    <w:qFormat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HeaderChar">
    <w:name w:val="Header Char"/>
    <w:uiPriority w:val="99"/>
    <w:qFormat/>
    <w:locked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qFormat/>
    <w:locked/>
    <w:rPr>
      <w:rFonts w:cs="Times New Roman"/>
      <w:sz w:val="21"/>
      <w:szCs w:val="21"/>
    </w:rPr>
  </w:style>
  <w:style w:type="character" w:customStyle="1" w:styleId="FooterChar">
    <w:name w:val="Footer Char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cs="宋体"/>
      <w:sz w:val="21"/>
      <w:szCs w:val="21"/>
    </w:rPr>
  </w:style>
  <w:style w:type="character" w:customStyle="1" w:styleId="Char10">
    <w:name w:val="批注文字 Char1"/>
    <w:basedOn w:val="a0"/>
    <w:uiPriority w:val="99"/>
    <w:semiHidden/>
    <w:qFormat/>
    <w:rPr>
      <w:rFonts w:cs="宋体"/>
      <w:sz w:val="21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宋体"/>
      <w:sz w:val="18"/>
      <w:szCs w:val="18"/>
    </w:rPr>
  </w:style>
  <w:style w:type="character" w:customStyle="1" w:styleId="Char11">
    <w:name w:val="页眉 Char1"/>
    <w:basedOn w:val="a0"/>
    <w:uiPriority w:val="99"/>
    <w:semiHidden/>
    <w:qFormat/>
    <w:rPr>
      <w:rFonts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宋体"/>
      <w:sz w:val="18"/>
      <w:szCs w:val="18"/>
    </w:rPr>
  </w:style>
  <w:style w:type="character" w:customStyle="1" w:styleId="Char12">
    <w:name w:val="页脚 Char1"/>
    <w:basedOn w:val="a0"/>
    <w:uiPriority w:val="99"/>
    <w:semiHidden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林芳芳</cp:lastModifiedBy>
  <cp:revision>15</cp:revision>
  <cp:lastPrinted>2019-05-24T08:11:00Z</cp:lastPrinted>
  <dcterms:created xsi:type="dcterms:W3CDTF">2016-04-25T09:13:00Z</dcterms:created>
  <dcterms:modified xsi:type="dcterms:W3CDTF">2021-06-17T00:24:00Z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