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bookmarkStart w:id="0" w:name="_GoBack"/>
      <w:bookmarkEnd w:id="0"/>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ind w:firstLine="420" w:firstLineChars="0"/>
        <w:jc w:val="left"/>
        <w:textAlignment w:val="baseline"/>
        <w:rPr>
          <w:rFonts w:hint="default" w:ascii="仿宋" w:hAnsi="仿宋" w:eastAsia="仿宋"/>
          <w:sz w:val="24"/>
          <w:szCs w:val="24"/>
          <w:lang w:val="en-US" w:eastAsia="zh-CN"/>
        </w:rPr>
      </w:pPr>
    </w:p>
    <w:p>
      <w:pPr>
        <w:pStyle w:val="3"/>
        <w:shd w:val="clear" w:color="auto" w:fill="FFFFFF"/>
        <w:spacing w:before="0" w:beforeAutospacing="0" w:after="0" w:afterAutospacing="0"/>
        <w:jc w:val="center"/>
        <w:textAlignment w:val="baseline"/>
        <w:rPr>
          <w:rFonts w:ascii="微软雅黑" w:hAnsi="微软雅黑" w:eastAsia="微软雅黑"/>
          <w:color w:val="333333"/>
        </w:rPr>
      </w:pPr>
      <w:r>
        <w:rPr>
          <w:rStyle w:val="6"/>
          <w:rFonts w:ascii="inherit" w:hAnsi="inherit" w:eastAsia="微软雅黑"/>
          <w:color w:val="333333"/>
        </w:rPr>
        <w:t>教务〔2021〕</w:t>
      </w:r>
      <w:r>
        <w:rPr>
          <w:rStyle w:val="6"/>
          <w:rFonts w:hint="eastAsia" w:ascii="inherit" w:hAnsi="inherit" w:eastAsia="微软雅黑"/>
          <w:color w:val="333333"/>
          <w:lang w:val="en-US" w:eastAsia="zh-CN"/>
        </w:rPr>
        <w:t>111</w:t>
      </w:r>
      <w:r>
        <w:rPr>
          <w:rStyle w:val="6"/>
          <w:rFonts w:ascii="inherit" w:hAnsi="inherit" w:eastAsia="微软雅黑"/>
          <w:color w:val="333333"/>
        </w:rPr>
        <w:t>号</w:t>
      </w:r>
    </w:p>
    <w:p>
      <w:pPr>
        <w:pStyle w:val="3"/>
        <w:shd w:val="clear" w:color="auto" w:fill="FFFFFF"/>
        <w:spacing w:before="0" w:beforeAutospacing="0" w:after="0" w:afterAutospacing="0" w:line="360" w:lineRule="atLeast"/>
        <w:jc w:val="center"/>
        <w:textAlignment w:val="baseline"/>
        <w:rPr>
          <w:color w:val="333333"/>
          <w:sz w:val="32"/>
          <w:szCs w:val="32"/>
        </w:rPr>
      </w:pPr>
      <w:r>
        <w:rPr>
          <w:rStyle w:val="6"/>
          <w:rFonts w:hint="eastAsia"/>
          <w:color w:val="333333"/>
          <w:sz w:val="32"/>
          <w:szCs w:val="32"/>
        </w:rPr>
        <w:t>关于做好我校2</w:t>
      </w:r>
      <w:r>
        <w:rPr>
          <w:rStyle w:val="6"/>
          <w:color w:val="333333"/>
          <w:sz w:val="32"/>
          <w:szCs w:val="32"/>
        </w:rPr>
        <w:t>021年</w:t>
      </w:r>
      <w:r>
        <w:rPr>
          <w:rStyle w:val="6"/>
          <w:rFonts w:hint="eastAsia"/>
          <w:color w:val="333333"/>
          <w:sz w:val="32"/>
          <w:szCs w:val="32"/>
        </w:rPr>
        <w:t>1</w:t>
      </w:r>
      <w:r>
        <w:rPr>
          <w:rStyle w:val="6"/>
          <w:color w:val="333333"/>
          <w:sz w:val="32"/>
          <w:szCs w:val="32"/>
        </w:rPr>
        <w:t>2月</w:t>
      </w:r>
      <w:r>
        <w:rPr>
          <w:rStyle w:val="6"/>
          <w:rFonts w:hint="eastAsia"/>
          <w:color w:val="333333"/>
          <w:sz w:val="32"/>
          <w:szCs w:val="32"/>
        </w:rPr>
        <w:t>大学英语四、六级和英语应用能力</w:t>
      </w:r>
      <w:r>
        <w:rPr>
          <w:rStyle w:val="6"/>
          <w:rFonts w:ascii="inherit" w:hAnsi="inherit"/>
          <w:color w:val="333333"/>
          <w:sz w:val="32"/>
          <w:szCs w:val="32"/>
        </w:rPr>
        <w:t>B级考试防疫工作的紧急通知</w:t>
      </w:r>
    </w:p>
    <w:p>
      <w:pPr>
        <w:spacing w:line="400" w:lineRule="exact"/>
        <w:ind w:firstLine="42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各学院（部）、各单位：</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根据教育部考试中心2021年10月18日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平台发文</w:t>
      </w:r>
      <w:r>
        <w:rPr>
          <w:rFonts w:hint="eastAsia" w:ascii="宋体" w:hAnsi="宋体" w:eastAsia="宋体" w:cs="宋体"/>
          <w:color w:val="000000" w:themeColor="text1"/>
          <w:sz w:val="24"/>
          <w:szCs w:val="24"/>
          <w:highlight w:val="none"/>
          <w14:textFill>
            <w14:solidFill>
              <w14:schemeClr w14:val="tx1"/>
            </w14:solidFill>
          </w14:textFill>
        </w:rPr>
        <w:t>《新冠肺炎疫情防控常态化下全国大学英语四、六级考试（CET）组考防疫工作指导意见2021版》和《广西师范大学新冠肺炎疫情防控工作领导小组指挥部通告（2021年第2号）》，为进一步做好我校</w:t>
      </w:r>
      <w:r>
        <w:rPr>
          <w:rFonts w:hint="eastAsia" w:ascii="宋体" w:hAnsi="宋体" w:eastAsia="宋体" w:cs="宋体"/>
          <w:bCs/>
          <w:color w:val="000000" w:themeColor="text1"/>
          <w:sz w:val="24"/>
          <w:szCs w:val="24"/>
          <w:highlight w:val="none"/>
          <w14:textFill>
            <w14:solidFill>
              <w14:schemeClr w14:val="tx1"/>
            </w14:solidFill>
          </w14:textFill>
        </w:rPr>
        <w:t>2021年12月大学英语四、六级和英语应用能力B级考试</w:t>
      </w:r>
      <w:r>
        <w:rPr>
          <w:rFonts w:hint="eastAsia" w:ascii="宋体" w:hAnsi="宋体" w:eastAsia="宋体" w:cs="宋体"/>
          <w:color w:val="000000" w:themeColor="text1"/>
          <w:sz w:val="24"/>
          <w:szCs w:val="24"/>
          <w:highlight w:val="none"/>
          <w14:textFill>
            <w14:solidFill>
              <w14:schemeClr w14:val="tx1"/>
            </w14:solidFill>
          </w14:textFill>
        </w:rPr>
        <w:t>新冠肺炎疫情</w:t>
      </w:r>
      <w:r>
        <w:rPr>
          <w:rFonts w:hint="eastAsia" w:ascii="宋体" w:hAnsi="宋体" w:eastAsia="宋体" w:cs="宋体"/>
          <w:bCs/>
          <w:color w:val="000000" w:themeColor="text1"/>
          <w:sz w:val="24"/>
          <w:szCs w:val="24"/>
          <w:highlight w:val="none"/>
          <w14:textFill>
            <w14:solidFill>
              <w14:schemeClr w14:val="tx1"/>
            </w14:solidFill>
          </w14:textFill>
        </w:rPr>
        <w:t>防疫工作</w:t>
      </w:r>
      <w:r>
        <w:rPr>
          <w:rFonts w:hint="eastAsia" w:ascii="宋体" w:hAnsi="宋体" w:eastAsia="宋体" w:cs="宋体"/>
          <w:color w:val="000000" w:themeColor="text1"/>
          <w:sz w:val="24"/>
          <w:szCs w:val="24"/>
          <w:highlight w:val="none"/>
          <w14:textFill>
            <w14:solidFill>
              <w14:schemeClr w14:val="tx1"/>
            </w14:solidFill>
          </w14:textFill>
        </w:rPr>
        <w:t>，现对有关事宜通告如下：</w:t>
      </w:r>
    </w:p>
    <w:p>
      <w:pPr>
        <w:spacing w:line="360" w:lineRule="auto"/>
        <w:ind w:firstLine="42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一、对考生进行健康状况监测</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考生应由所在学院（部）负责每日体温测量、记录并进行健康状况监测，已毕业考生由原所在学院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此项工作体温测量记录以及出现身体异常情况的，要及时报告，由考点高校依据本地防疫工作要求,结合卫生健康部门、疾控机构和医疗机构意见，在保障广大考生和考试工作人员生命安全和身体健康前提下，综合研判评估是否具备正常参加考试的条件。</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如考生为新冠肺炎确诊病例、无症状感染者、疑似患者、确诊病例密切接触者，不得参加本次考试。</w:t>
      </w:r>
    </w:p>
    <w:p>
      <w:pPr>
        <w:spacing w:line="360" w:lineRule="auto"/>
        <w:ind w:firstLine="42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二、对所有考试工作人员进行健康状况监测</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试工作人员所在单位要对所有考试工作人员进行每日体温测量、记录和健康状况监测，出现身体异常的要及时诊疗，考前3天内有发热症状的不得参与考试工作。原则上安排接种过新冠病毒疫苗的工作人员参加考试相关工作。所有考生及考试工作人员在考前14天和考试期间避免参加聚会、聚餐等聚集性活动，减少进入人员密集的公共场所，乘坐公共交通工具时要做好个人防护。凡筛查发现考前14天内有境外或非低风险地区活动轨迹的，按当地政府有关疫情防控规定进行处理。</w:t>
      </w:r>
    </w:p>
    <w:p>
      <w:pPr>
        <w:spacing w:line="360" w:lineRule="auto"/>
        <w:ind w:firstLine="42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三、考生和考试工作人员按要求进入考点、考场</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所有人员必须按照《广西师范大学新冠肺炎疫情防控工作领导小组指挥部通告 （2021年第2号）》要求，严格执行入校测温、验码、登记、戴口罩制度。考生和考试工作人员体温低于37.3℃且健康行程证明符合我校规定要求方可进入考点、考场，14天内有广西区内旅居史的考生应携带48小时内核酸检验报告入校考试，14天内有广西区外旅居史（不含中高风险地区）的考生应携带48小时内核酸检验报告以及抵桂林后在进行一次核酸检测，阴性后方可入校考试。</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各学院对因实习等原因需在考前返校的考生，应立刻转发此文件并要求考生联系辅导员了解最新的疫情防控政策，提前做好准备，按要求返校。</w:t>
      </w:r>
    </w:p>
    <w:p>
      <w:pPr>
        <w:spacing w:line="360" w:lineRule="auto"/>
        <w:ind w:firstLine="42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四、防护和消毒要求。</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生不得因为佩戴口罩影响身份识别。低风险地区的考生在进入考场前要佩戴口罩，进入考场后由考生自行决定是否佩戴。考点入口负责体温测量的工作人员要佩戴一次性使用医用口罩和一次性手套；普通考场监考员全程佩戴一次性使用医用口罩。所有考生、监考员和工作人员必须随时做好手</w:t>
      </w:r>
      <w:r>
        <w:rPr>
          <w:rFonts w:hint="eastAsia" w:ascii="宋体" w:hAnsi="宋体" w:eastAsia="宋体" w:cs="宋体"/>
          <w:color w:val="000000" w:themeColor="text1"/>
          <w:sz w:val="24"/>
          <w:szCs w:val="24"/>
          <w:highlight w:val="none"/>
          <w:lang w:val="en-US" w:eastAsia="zh-CN"/>
          <w14:textFill>
            <w14:solidFill>
              <w14:schemeClr w14:val="tx1"/>
            </w14:solidFill>
          </w14:textFill>
        </w:rPr>
        <w:t>部</w:t>
      </w:r>
      <w:r>
        <w:rPr>
          <w:rFonts w:hint="eastAsia" w:ascii="宋体" w:hAnsi="宋体" w:eastAsia="宋体" w:cs="宋体"/>
          <w:color w:val="000000" w:themeColor="text1"/>
          <w:sz w:val="24"/>
          <w:szCs w:val="24"/>
          <w:highlight w:val="none"/>
          <w14:textFill>
            <w14:solidFill>
              <w14:schemeClr w14:val="tx1"/>
            </w14:solidFill>
          </w14:textFill>
        </w:rPr>
        <w:t>卫生。</w:t>
      </w: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2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广西师范大学教务处</w:t>
      </w:r>
    </w:p>
    <w:p>
      <w:pPr>
        <w:spacing w:line="360" w:lineRule="auto"/>
        <w:ind w:firstLine="42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2021年12月1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D3"/>
    <w:rsid w:val="000E5EB8"/>
    <w:rsid w:val="001E4C4F"/>
    <w:rsid w:val="00506CE1"/>
    <w:rsid w:val="00680B7F"/>
    <w:rsid w:val="00B042A5"/>
    <w:rsid w:val="00B61C89"/>
    <w:rsid w:val="00DE5C49"/>
    <w:rsid w:val="00DF01D3"/>
    <w:rsid w:val="32AE0929"/>
    <w:rsid w:val="4B1B7206"/>
    <w:rsid w:val="502D15E3"/>
    <w:rsid w:val="56385E0E"/>
    <w:rsid w:val="700F47A9"/>
    <w:rsid w:val="71F6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D0811-BEAA-403E-8E8B-1E860A3B6E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158</Words>
  <Characters>902</Characters>
  <Lines>7</Lines>
  <Paragraphs>2</Paragraphs>
  <TotalTime>14</TotalTime>
  <ScaleCrop>false</ScaleCrop>
  <LinksUpToDate>false</LinksUpToDate>
  <CharactersWithSpaces>1058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2021-12-10T01:22:00Z</dcterms:created>
  <dc:creator>Rorshachi</dc:creator>
  <cp:lastModifiedBy>家园</cp:lastModifiedBy>
  <dcterms:modified xsi:type="dcterms:W3CDTF">2021-12-15T07:22:45Z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9918696AFCFD4CC8B56BC37D8B4EC8C8</vt:lpwstr>
  </property>
</Properties>
</file>