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54" w:rsidRPr="00E22F54" w:rsidRDefault="00E22F54" w:rsidP="00E22F54">
      <w:pPr>
        <w:spacing w:line="600" w:lineRule="exact"/>
        <w:ind w:firstLineChars="150" w:firstLine="480"/>
        <w:jc w:val="center"/>
        <w:rPr>
          <w:rFonts w:ascii="方正小标宋简体" w:eastAsia="方正小标宋简体" w:hAnsi="宋体"/>
          <w:color w:val="000000"/>
          <w:sz w:val="32"/>
          <w:szCs w:val="36"/>
        </w:rPr>
      </w:pPr>
      <w:r w:rsidRPr="00E22F54">
        <w:rPr>
          <w:rFonts w:ascii="方正小标宋简体" w:eastAsia="方正小标宋简体" w:hAnsi="宋体" w:hint="eastAsia"/>
          <w:color w:val="000000"/>
          <w:sz w:val="32"/>
          <w:szCs w:val="36"/>
        </w:rPr>
        <w:t>关于报送拟接收</w:t>
      </w:r>
      <w:r w:rsidRPr="00C35212">
        <w:rPr>
          <w:rFonts w:ascii="方正小标宋简体" w:eastAsia="方正小标宋简体" w:hAnsi="宋体" w:hint="eastAsia"/>
          <w:color w:val="000000"/>
          <w:sz w:val="32"/>
          <w:szCs w:val="36"/>
        </w:rPr>
        <w:t>中外校际交流项目</w:t>
      </w:r>
      <w:r w:rsidR="003F33FC">
        <w:rPr>
          <w:rFonts w:ascii="方正小标宋简体" w:eastAsia="方正小标宋简体" w:hAnsi="宋体" w:hint="eastAsia"/>
          <w:color w:val="000000"/>
          <w:sz w:val="32"/>
          <w:szCs w:val="36"/>
        </w:rPr>
        <w:t>2017</w:t>
      </w:r>
      <w:r w:rsidRPr="00C35212">
        <w:rPr>
          <w:rFonts w:ascii="方正小标宋简体" w:eastAsia="方正小标宋简体" w:hAnsi="宋体" w:hint="eastAsia"/>
          <w:color w:val="000000"/>
          <w:sz w:val="32"/>
          <w:szCs w:val="36"/>
        </w:rPr>
        <w:t>级</w:t>
      </w:r>
      <w:r w:rsidRPr="00E22F54">
        <w:rPr>
          <w:rFonts w:ascii="方正小标宋简体" w:eastAsia="方正小标宋简体" w:hAnsi="宋体" w:hint="eastAsia"/>
          <w:color w:val="000000"/>
          <w:sz w:val="32"/>
          <w:szCs w:val="36"/>
        </w:rPr>
        <w:t>学生分流计划数</w:t>
      </w:r>
      <w:r>
        <w:rPr>
          <w:rFonts w:ascii="方正小标宋简体" w:eastAsia="方正小标宋简体" w:hAnsi="宋体" w:hint="eastAsia"/>
          <w:color w:val="000000"/>
          <w:sz w:val="32"/>
          <w:szCs w:val="36"/>
        </w:rPr>
        <w:t>的通知</w:t>
      </w:r>
    </w:p>
    <w:p w:rsidR="00DD707C" w:rsidRDefault="00DD707C" w:rsidP="00C35212">
      <w:pPr>
        <w:spacing w:line="64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C35212" w:rsidRPr="00FD7618" w:rsidRDefault="00C35212" w:rsidP="00C35212">
      <w:pPr>
        <w:spacing w:line="64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各学院（部）：</w:t>
      </w:r>
    </w:p>
    <w:p w:rsidR="00C35212" w:rsidRPr="00FD7618" w:rsidRDefault="003F33FC" w:rsidP="005607E6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2019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我校中外校际交流项目201</w:t>
      </w: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7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级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共</w:t>
      </w:r>
      <w:r w:rsidR="00FD7618" w:rsidRPr="00FD7618">
        <w:rPr>
          <w:rFonts w:asciiTheme="minorEastAsia" w:eastAsiaTheme="minorEastAsia" w:hAnsiTheme="minorEastAsia"/>
          <w:color w:val="000000"/>
          <w:sz w:val="32"/>
          <w:szCs w:val="32"/>
        </w:rPr>
        <w:t>427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名</w:t>
      </w:r>
      <w:r w:rsidR="00FD7618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(普通</w:t>
      </w:r>
      <w:r w:rsidR="00FD7618" w:rsidRPr="00FD7618">
        <w:rPr>
          <w:rFonts w:asciiTheme="minorEastAsia" w:eastAsiaTheme="minorEastAsia" w:hAnsiTheme="minorEastAsia"/>
          <w:color w:val="000000"/>
          <w:sz w:val="32"/>
          <w:szCs w:val="32"/>
        </w:rPr>
        <w:t>专业</w:t>
      </w:r>
      <w:r w:rsidR="00FD7618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370人</w:t>
      </w:r>
      <w:r w:rsidR="00FD7618" w:rsidRPr="00FD7618">
        <w:rPr>
          <w:rFonts w:asciiTheme="minorEastAsia" w:eastAsiaTheme="minorEastAsia" w:hAnsiTheme="minorEastAsia"/>
          <w:color w:val="000000"/>
          <w:sz w:val="32"/>
          <w:szCs w:val="32"/>
        </w:rPr>
        <w:t>，艺术类专业</w:t>
      </w:r>
      <w:r w:rsidR="00FD7618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57人)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全日制普通本科生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拟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参加校内专业分流，根据《广西师范大学中外校际交流项目全日制普通本科生管理办法》（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师政教学〔2017〕119号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）和201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7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年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5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月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日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第九次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校长办公会纪要精神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，</w:t>
      </w:r>
      <w:r w:rsidR="00C35212" w:rsidRPr="00FD7618">
        <w:rPr>
          <w:rFonts w:asciiTheme="minorEastAsia" w:eastAsiaTheme="minorEastAsia" w:hAnsiTheme="minorEastAsia"/>
          <w:color w:val="000000"/>
          <w:sz w:val="32"/>
          <w:szCs w:val="32"/>
        </w:rPr>
        <w:t>为做好分流工作，现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请各学院</w:t>
      </w:r>
      <w:r w:rsidR="00E22F54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（部）</w:t>
      </w:r>
      <w:r w:rsidR="00C35212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根据实际情况报送</w:t>
      </w:r>
      <w:r w:rsidR="00E22F54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拟接收分流学生的专业计划数并备注相应的分流要求，填写附件</w:t>
      </w:r>
      <w:r w:rsidR="005607E6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，</w:t>
      </w:r>
      <w:r w:rsidR="00E22F54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于3月</w:t>
      </w:r>
      <w:r w:rsidR="00AF23BC" w:rsidRPr="00FD7618">
        <w:rPr>
          <w:rFonts w:asciiTheme="minorEastAsia" w:eastAsiaTheme="minorEastAsia" w:hAnsiTheme="minorEastAsia"/>
          <w:color w:val="000000"/>
          <w:sz w:val="32"/>
          <w:szCs w:val="32"/>
        </w:rPr>
        <w:t>18</w:t>
      </w:r>
      <w:r w:rsidR="00E22F54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日以前</w:t>
      </w:r>
      <w:r w:rsidR="004674AA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将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加盖</w:t>
      </w: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公章</w:t>
      </w:r>
      <w:r w:rsidR="004674AA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的文本版</w:t>
      </w:r>
      <w:r w:rsidR="005607E6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交至教务处学籍管理科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（雁山</w:t>
      </w: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校区起文楼北楼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567室</w:t>
      </w: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，</w:t>
      </w:r>
      <w:r w:rsidR="00AF23BC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电话</w:t>
      </w:r>
      <w:r w:rsidR="00AF23BC" w:rsidRPr="00FD7618">
        <w:rPr>
          <w:rFonts w:asciiTheme="minorEastAsia" w:eastAsiaTheme="minorEastAsia" w:hAnsiTheme="minorEastAsia"/>
          <w:color w:val="000000"/>
          <w:sz w:val="32"/>
          <w:szCs w:val="32"/>
        </w:rPr>
        <w:t>：</w:t>
      </w:r>
      <w:r w:rsidR="00AF23BC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3698155；</w:t>
      </w:r>
      <w:r w:rsidRPr="00FD7618">
        <w:rPr>
          <w:rFonts w:asciiTheme="minorEastAsia" w:eastAsiaTheme="minorEastAsia" w:hAnsiTheme="minorEastAsia"/>
          <w:color w:val="000000"/>
          <w:sz w:val="32"/>
          <w:szCs w:val="32"/>
        </w:rPr>
        <w:t>育才校区第二文科综合楼北楼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405室</w:t>
      </w:r>
      <w:r w:rsidR="00AF23BC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，</w:t>
      </w:r>
      <w:r w:rsidR="00AF23BC" w:rsidRPr="00FD7618">
        <w:rPr>
          <w:rFonts w:asciiTheme="minorEastAsia" w:eastAsiaTheme="minorEastAsia" w:hAnsiTheme="minorEastAsia"/>
          <w:color w:val="000000"/>
          <w:sz w:val="32"/>
          <w:szCs w:val="32"/>
        </w:rPr>
        <w:t>电话</w:t>
      </w:r>
      <w:r w:rsidR="00AF23BC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5845849</w:t>
      </w:r>
      <w:r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）</w:t>
      </w:r>
      <w:r w:rsidR="005607E6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，电子版发送到邮箱：</w:t>
      </w:r>
      <w:hyperlink r:id="rId6" w:history="1">
        <w:r w:rsidR="005607E6" w:rsidRPr="00FD7618">
          <w:rPr>
            <w:rStyle w:val="a7"/>
            <w:rFonts w:asciiTheme="minorEastAsia" w:eastAsiaTheme="minorEastAsia" w:hAnsiTheme="minorEastAsia" w:hint="eastAsia"/>
            <w:sz w:val="32"/>
            <w:szCs w:val="32"/>
          </w:rPr>
          <w:t>jwcxjk@mailbox.gxnu.edu.cn</w:t>
        </w:r>
      </w:hyperlink>
      <w:r w:rsidR="005607E6" w:rsidRPr="00FD7618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</w:p>
    <w:p w:rsidR="00C35212" w:rsidRPr="00FD7618" w:rsidRDefault="00C35212" w:rsidP="003B380F">
      <w:pPr>
        <w:spacing w:line="600" w:lineRule="exact"/>
        <w:jc w:val="left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5607E6" w:rsidRDefault="005607E6" w:rsidP="003B380F">
      <w:pPr>
        <w:spacing w:line="600" w:lineRule="exact"/>
        <w:jc w:val="left"/>
        <w:rPr>
          <w:rFonts w:ascii="方正小标宋简体" w:eastAsia="方正小标宋简体" w:hAnsi="宋体"/>
          <w:color w:val="000000"/>
          <w:sz w:val="24"/>
          <w:szCs w:val="36"/>
        </w:rPr>
      </w:pPr>
    </w:p>
    <w:p w:rsidR="004674AA" w:rsidRDefault="005607E6" w:rsidP="004674AA">
      <w:pPr>
        <w:spacing w:line="600" w:lineRule="exact"/>
        <w:ind w:left="980" w:hangingChars="350" w:hanging="980"/>
        <w:jc w:val="left"/>
        <w:rPr>
          <w:rFonts w:ascii="仿宋" w:eastAsia="仿宋" w:hAnsi="仿宋"/>
          <w:color w:val="000000"/>
          <w:sz w:val="28"/>
          <w:szCs w:val="36"/>
        </w:rPr>
      </w:pPr>
      <w:r w:rsidRPr="004674AA">
        <w:rPr>
          <w:rFonts w:ascii="仿宋" w:eastAsia="仿宋" w:hAnsi="仿宋" w:hint="eastAsia"/>
          <w:color w:val="000000"/>
          <w:sz w:val="28"/>
          <w:szCs w:val="36"/>
        </w:rPr>
        <w:t>附件：广西师范大学各专业拟接收中外校际交流项目201</w:t>
      </w:r>
      <w:r w:rsidR="00D52E63">
        <w:rPr>
          <w:rFonts w:ascii="仿宋" w:eastAsia="仿宋" w:hAnsi="仿宋"/>
          <w:color w:val="000000"/>
          <w:sz w:val="28"/>
          <w:szCs w:val="36"/>
        </w:rPr>
        <w:t>7</w:t>
      </w:r>
      <w:r w:rsidRPr="004674AA">
        <w:rPr>
          <w:rFonts w:ascii="仿宋" w:eastAsia="仿宋" w:hAnsi="仿宋" w:hint="eastAsia"/>
          <w:color w:val="000000"/>
          <w:sz w:val="28"/>
          <w:szCs w:val="36"/>
        </w:rPr>
        <w:t>级学生分流</w:t>
      </w:r>
    </w:p>
    <w:p w:rsidR="005607E6" w:rsidRDefault="005607E6" w:rsidP="004674AA">
      <w:pPr>
        <w:spacing w:line="600" w:lineRule="exact"/>
        <w:ind w:leftChars="467" w:left="981" w:firstLineChars="50" w:firstLine="140"/>
        <w:jc w:val="left"/>
        <w:rPr>
          <w:rFonts w:ascii="仿宋" w:eastAsia="仿宋" w:hAnsi="仿宋"/>
          <w:color w:val="000000"/>
          <w:sz w:val="28"/>
          <w:szCs w:val="36"/>
        </w:rPr>
      </w:pPr>
      <w:r w:rsidRPr="004674AA">
        <w:rPr>
          <w:rFonts w:ascii="仿宋" w:eastAsia="仿宋" w:hAnsi="仿宋" w:hint="eastAsia"/>
          <w:color w:val="000000"/>
          <w:sz w:val="28"/>
          <w:szCs w:val="36"/>
        </w:rPr>
        <w:t>计划数一览表</w:t>
      </w:r>
    </w:p>
    <w:p w:rsidR="00607ACE" w:rsidRDefault="00607ACE" w:rsidP="004674AA">
      <w:pPr>
        <w:spacing w:line="600" w:lineRule="exact"/>
        <w:ind w:leftChars="467" w:left="981" w:firstLineChars="50" w:firstLine="140"/>
        <w:jc w:val="left"/>
        <w:rPr>
          <w:rFonts w:ascii="仿宋" w:eastAsia="仿宋" w:hAnsi="仿宋"/>
          <w:color w:val="000000"/>
          <w:sz w:val="28"/>
          <w:szCs w:val="36"/>
        </w:rPr>
      </w:pPr>
    </w:p>
    <w:p w:rsidR="00607ACE" w:rsidRDefault="00607ACE" w:rsidP="004674AA">
      <w:pPr>
        <w:spacing w:line="600" w:lineRule="exact"/>
        <w:ind w:leftChars="467" w:left="981" w:firstLineChars="50" w:firstLine="140"/>
        <w:jc w:val="left"/>
        <w:rPr>
          <w:rFonts w:ascii="仿宋" w:eastAsia="仿宋" w:hAnsi="仿宋"/>
          <w:color w:val="000000"/>
          <w:sz w:val="28"/>
          <w:szCs w:val="36"/>
        </w:rPr>
      </w:pPr>
    </w:p>
    <w:p w:rsidR="00607ACE" w:rsidRPr="00607ACE" w:rsidRDefault="00607ACE" w:rsidP="004674AA">
      <w:pPr>
        <w:spacing w:line="600" w:lineRule="exact"/>
        <w:ind w:leftChars="467" w:left="981" w:firstLineChars="50" w:firstLine="1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36"/>
        </w:rPr>
        <w:t xml:space="preserve">                                </w:t>
      </w:r>
      <w:r w:rsidRPr="00607ACE">
        <w:rPr>
          <w:rFonts w:ascii="仿宋" w:eastAsia="仿宋" w:hAnsi="仿宋" w:hint="eastAsia"/>
          <w:color w:val="000000"/>
          <w:sz w:val="32"/>
          <w:szCs w:val="32"/>
        </w:rPr>
        <w:t>广西师范大学教务处</w:t>
      </w:r>
    </w:p>
    <w:p w:rsidR="00607ACE" w:rsidRPr="00607ACE" w:rsidRDefault="00607ACE" w:rsidP="00607ACE">
      <w:pPr>
        <w:spacing w:line="600" w:lineRule="exact"/>
        <w:ind w:leftChars="467" w:left="981" w:firstLineChars="50" w:firstLine="16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Pr="00607ACE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3F33FC">
        <w:rPr>
          <w:rFonts w:ascii="仿宋" w:eastAsia="仿宋" w:hAnsi="仿宋"/>
          <w:color w:val="000000"/>
          <w:sz w:val="32"/>
          <w:szCs w:val="32"/>
        </w:rPr>
        <w:t>2019</w:t>
      </w:r>
      <w:r w:rsidRPr="00607ACE">
        <w:rPr>
          <w:rFonts w:ascii="仿宋" w:eastAsia="仿宋" w:hAnsi="仿宋"/>
          <w:color w:val="000000"/>
          <w:sz w:val="32"/>
          <w:szCs w:val="32"/>
        </w:rPr>
        <w:t>年3月</w:t>
      </w:r>
      <w:r w:rsidR="00AF23BC">
        <w:rPr>
          <w:rFonts w:ascii="仿宋" w:eastAsia="仿宋" w:hAnsi="仿宋"/>
          <w:color w:val="000000"/>
          <w:sz w:val="32"/>
          <w:szCs w:val="32"/>
        </w:rPr>
        <w:t>11</w:t>
      </w:r>
      <w:r w:rsidRPr="00607ACE">
        <w:rPr>
          <w:rFonts w:ascii="仿宋" w:eastAsia="仿宋" w:hAnsi="仿宋"/>
          <w:color w:val="000000"/>
          <w:sz w:val="32"/>
          <w:szCs w:val="32"/>
        </w:rPr>
        <w:t>日</w:t>
      </w:r>
    </w:p>
    <w:p w:rsidR="00607ACE" w:rsidRPr="004674AA" w:rsidRDefault="00607ACE" w:rsidP="004674AA">
      <w:pPr>
        <w:spacing w:line="600" w:lineRule="exact"/>
        <w:ind w:leftChars="467" w:left="981" w:firstLineChars="50" w:firstLine="140"/>
        <w:jc w:val="left"/>
        <w:rPr>
          <w:rFonts w:ascii="仿宋" w:eastAsia="仿宋" w:hAnsi="仿宋"/>
          <w:color w:val="000000"/>
          <w:sz w:val="28"/>
          <w:szCs w:val="36"/>
        </w:rPr>
      </w:pPr>
    </w:p>
    <w:p w:rsidR="003B380F" w:rsidRPr="003B380F" w:rsidRDefault="003B380F" w:rsidP="003B380F">
      <w:pPr>
        <w:spacing w:line="600" w:lineRule="exact"/>
        <w:jc w:val="left"/>
        <w:rPr>
          <w:rFonts w:ascii="方正小标宋简体" w:eastAsia="方正小标宋简体" w:hAnsi="宋体"/>
          <w:color w:val="000000"/>
          <w:sz w:val="24"/>
          <w:szCs w:val="36"/>
        </w:rPr>
      </w:pPr>
      <w:r w:rsidRPr="003B380F">
        <w:rPr>
          <w:rFonts w:ascii="方正小标宋简体" w:eastAsia="方正小标宋简体" w:hAnsi="宋体" w:hint="eastAsia"/>
          <w:color w:val="000000"/>
          <w:sz w:val="24"/>
          <w:szCs w:val="36"/>
        </w:rPr>
        <w:lastRenderedPageBreak/>
        <w:t>附件</w:t>
      </w:r>
    </w:p>
    <w:p w:rsidR="00C35212" w:rsidRPr="00C35212" w:rsidRDefault="005020CE" w:rsidP="00C35212">
      <w:pPr>
        <w:spacing w:line="600" w:lineRule="exact"/>
        <w:ind w:firstLineChars="150" w:firstLine="480"/>
        <w:jc w:val="center"/>
        <w:rPr>
          <w:rFonts w:ascii="方正小标宋简体" w:eastAsia="方正小标宋简体" w:hAnsi="宋体"/>
          <w:color w:val="000000"/>
          <w:sz w:val="32"/>
          <w:szCs w:val="36"/>
        </w:rPr>
      </w:pPr>
      <w:r w:rsidRPr="00C35212">
        <w:rPr>
          <w:rFonts w:ascii="方正小标宋简体" w:eastAsia="方正小标宋简体" w:hAnsi="宋体" w:hint="eastAsia"/>
          <w:color w:val="000000"/>
          <w:sz w:val="32"/>
          <w:szCs w:val="36"/>
        </w:rPr>
        <w:t>广西师范大学</w:t>
      </w:r>
      <w:r w:rsidRPr="00C35212">
        <w:rPr>
          <w:rFonts w:ascii="方正小标宋简体" w:eastAsia="方正小标宋简体" w:hAnsi="宋体" w:hint="eastAsia"/>
          <w:sz w:val="32"/>
          <w:szCs w:val="36"/>
        </w:rPr>
        <w:t>各专业拟接收</w:t>
      </w:r>
      <w:r w:rsidRPr="00C35212">
        <w:rPr>
          <w:rFonts w:ascii="方正小标宋简体" w:eastAsia="方正小标宋简体" w:hAnsi="宋体" w:hint="eastAsia"/>
          <w:color w:val="000000"/>
          <w:sz w:val="32"/>
          <w:szCs w:val="36"/>
        </w:rPr>
        <w:t>中外校际交流项目</w:t>
      </w:r>
    </w:p>
    <w:p w:rsidR="005020CE" w:rsidRPr="00C35212" w:rsidRDefault="00D52E63" w:rsidP="00C35212">
      <w:pPr>
        <w:spacing w:line="600" w:lineRule="exact"/>
        <w:ind w:firstLineChars="150" w:firstLine="480"/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color w:val="000000"/>
          <w:sz w:val="32"/>
          <w:szCs w:val="36"/>
        </w:rPr>
        <w:t>2017</w:t>
      </w:r>
      <w:r w:rsidR="00C01926" w:rsidRPr="00C35212">
        <w:rPr>
          <w:rFonts w:ascii="方正小标宋简体" w:eastAsia="方正小标宋简体" w:hAnsi="宋体" w:hint="eastAsia"/>
          <w:color w:val="000000"/>
          <w:sz w:val="32"/>
          <w:szCs w:val="36"/>
        </w:rPr>
        <w:t>级</w:t>
      </w:r>
      <w:r w:rsidR="005020CE" w:rsidRPr="00C35212">
        <w:rPr>
          <w:rFonts w:ascii="方正小标宋简体" w:eastAsia="方正小标宋简体" w:hAnsi="宋体" w:hint="eastAsia"/>
          <w:sz w:val="32"/>
          <w:szCs w:val="36"/>
        </w:rPr>
        <w:t>学生分流计划数一览表</w:t>
      </w:r>
    </w:p>
    <w:tbl>
      <w:tblPr>
        <w:tblpPr w:leftFromText="180" w:rightFromText="180" w:vertAnchor="text" w:horzAnchor="margin" w:tblpY="878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4"/>
        <w:gridCol w:w="1896"/>
        <w:gridCol w:w="1216"/>
        <w:gridCol w:w="1122"/>
        <w:gridCol w:w="3316"/>
      </w:tblGrid>
      <w:tr w:rsidR="00C35212" w:rsidTr="00D52E63">
        <w:trPr>
          <w:trHeight w:val="981"/>
        </w:trPr>
        <w:tc>
          <w:tcPr>
            <w:tcW w:w="1544" w:type="dxa"/>
            <w:vAlign w:val="center"/>
          </w:tcPr>
          <w:p w:rsidR="00C35212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896" w:type="dxa"/>
            <w:vAlign w:val="center"/>
          </w:tcPr>
          <w:p w:rsidR="00C35212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216" w:type="dxa"/>
            <w:vAlign w:val="center"/>
          </w:tcPr>
          <w:p w:rsidR="00C35212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专业性质</w:t>
            </w:r>
          </w:p>
        </w:tc>
        <w:tc>
          <w:tcPr>
            <w:tcW w:w="1122" w:type="dxa"/>
            <w:vAlign w:val="center"/>
          </w:tcPr>
          <w:p w:rsidR="00C35212" w:rsidRPr="00B65B32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b/>
                <w:spacing w:val="-20"/>
                <w:kern w:val="0"/>
                <w:szCs w:val="21"/>
              </w:rPr>
            </w:pPr>
            <w:r w:rsidRPr="00B65B32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拟接收人数</w:t>
            </w: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 注</w:t>
            </w:r>
          </w:p>
          <w:p w:rsidR="00D2478C" w:rsidRDefault="00D2478C" w:rsidP="005607E6">
            <w:pPr>
              <w:widowControl/>
              <w:spacing w:line="340" w:lineRule="exact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（专业</w:t>
            </w:r>
            <w:r>
              <w:rPr>
                <w:rFonts w:ascii="宋体" w:hAnsi="宋体" w:cs="宋体"/>
                <w:b/>
                <w:kern w:val="0"/>
                <w:sz w:val="24"/>
              </w:rPr>
              <w:t>要求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C35212" w:rsidTr="00D52E63">
        <w:trPr>
          <w:trHeight w:val="522"/>
        </w:trPr>
        <w:tc>
          <w:tcPr>
            <w:tcW w:w="1544" w:type="dxa"/>
            <w:vMerge w:val="restart"/>
            <w:vAlign w:val="center"/>
          </w:tcPr>
          <w:p w:rsidR="00C35212" w:rsidRPr="00075683" w:rsidRDefault="00C35212" w:rsidP="005607E6">
            <w:pPr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Hlk477972500"/>
          </w:p>
        </w:tc>
        <w:tc>
          <w:tcPr>
            <w:tcW w:w="189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5212" w:rsidTr="00D52E63">
        <w:trPr>
          <w:trHeight w:val="522"/>
        </w:trPr>
        <w:tc>
          <w:tcPr>
            <w:tcW w:w="1544" w:type="dxa"/>
            <w:vMerge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5212" w:rsidTr="00D52E63">
        <w:trPr>
          <w:trHeight w:val="522"/>
        </w:trPr>
        <w:tc>
          <w:tcPr>
            <w:tcW w:w="1544" w:type="dxa"/>
            <w:vMerge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35212" w:rsidTr="00D52E63">
        <w:trPr>
          <w:trHeight w:val="522"/>
        </w:trPr>
        <w:tc>
          <w:tcPr>
            <w:tcW w:w="1544" w:type="dxa"/>
            <w:vMerge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9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C35212" w:rsidRPr="00075683" w:rsidRDefault="00C35212" w:rsidP="005607E6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35212" w:rsidRPr="00075683" w:rsidRDefault="00C35212" w:rsidP="005607E6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tr w:rsidR="00C35212" w:rsidTr="00D52E63">
        <w:trPr>
          <w:trHeight w:val="554"/>
        </w:trPr>
        <w:tc>
          <w:tcPr>
            <w:tcW w:w="4656" w:type="dxa"/>
            <w:gridSpan w:val="3"/>
            <w:vAlign w:val="center"/>
          </w:tcPr>
          <w:p w:rsidR="00C35212" w:rsidRPr="00075683" w:rsidRDefault="00C35212" w:rsidP="005607E6">
            <w:pPr>
              <w:widowControl/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07568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合计</w:t>
            </w:r>
            <w:r w:rsidR="00D52E6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22" w:type="dxa"/>
            <w:vAlign w:val="center"/>
          </w:tcPr>
          <w:p w:rsidR="00C35212" w:rsidRPr="00075683" w:rsidRDefault="00C35212" w:rsidP="005607E6">
            <w:pPr>
              <w:spacing w:line="28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vAlign w:val="center"/>
          </w:tcPr>
          <w:p w:rsidR="00C35212" w:rsidRDefault="00C35212" w:rsidP="005607E6">
            <w:pPr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674AA" w:rsidRDefault="004674AA"/>
    <w:p w:rsidR="00FD1D29" w:rsidRDefault="005607E6">
      <w:pPr>
        <w:rPr>
          <w:rFonts w:hint="eastAsia"/>
          <w:sz w:val="24"/>
        </w:rPr>
      </w:pPr>
      <w:r w:rsidRPr="004674AA">
        <w:rPr>
          <w:rFonts w:hint="eastAsia"/>
          <w:sz w:val="24"/>
        </w:rPr>
        <w:t>学院（部）</w:t>
      </w:r>
      <w:r w:rsidR="00D52E63">
        <w:rPr>
          <w:rFonts w:hint="eastAsia"/>
          <w:sz w:val="24"/>
        </w:rPr>
        <w:t>公</w:t>
      </w:r>
      <w:r w:rsidRPr="004674AA">
        <w:rPr>
          <w:rFonts w:hint="eastAsia"/>
          <w:sz w:val="24"/>
        </w:rPr>
        <w:t>章</w:t>
      </w:r>
      <w:r w:rsidR="00D2478C">
        <w:rPr>
          <w:rFonts w:hint="eastAsia"/>
          <w:sz w:val="24"/>
        </w:rPr>
        <w:t xml:space="preserve">                           </w:t>
      </w:r>
      <w:r w:rsidR="00D2478C">
        <w:rPr>
          <w:sz w:val="24"/>
        </w:rPr>
        <w:t xml:space="preserve">  </w:t>
      </w:r>
      <w:bookmarkStart w:id="1" w:name="_GoBack"/>
      <w:bookmarkEnd w:id="1"/>
      <w:r w:rsidR="00D2478C">
        <w:rPr>
          <w:rFonts w:hint="eastAsia"/>
          <w:sz w:val="24"/>
        </w:rPr>
        <w:t xml:space="preserve">     </w:t>
      </w:r>
      <w:r w:rsidR="00D2478C">
        <w:rPr>
          <w:rFonts w:hint="eastAsia"/>
          <w:sz w:val="24"/>
        </w:rPr>
        <w:t>填表</w:t>
      </w:r>
      <w:r w:rsidR="00D2478C">
        <w:rPr>
          <w:sz w:val="24"/>
        </w:rPr>
        <w:t>时间：</w:t>
      </w:r>
      <w:r w:rsidR="00D2478C">
        <w:rPr>
          <w:rFonts w:hint="eastAsia"/>
          <w:sz w:val="24"/>
        </w:rPr>
        <w:t xml:space="preserve">  </w:t>
      </w:r>
      <w:r w:rsidR="00D2478C">
        <w:rPr>
          <w:sz w:val="24"/>
        </w:rPr>
        <w:t xml:space="preserve"> </w:t>
      </w:r>
      <w:r w:rsidR="00D2478C">
        <w:rPr>
          <w:rFonts w:hint="eastAsia"/>
          <w:sz w:val="24"/>
        </w:rPr>
        <w:t xml:space="preserve">  </w:t>
      </w:r>
      <w:r w:rsidR="00D2478C">
        <w:rPr>
          <w:rFonts w:hint="eastAsia"/>
          <w:sz w:val="24"/>
        </w:rPr>
        <w:t>年</w:t>
      </w:r>
      <w:r w:rsidR="00D2478C">
        <w:rPr>
          <w:rFonts w:hint="eastAsia"/>
          <w:sz w:val="24"/>
        </w:rPr>
        <w:t xml:space="preserve">   </w:t>
      </w:r>
      <w:r w:rsidR="00D2478C">
        <w:rPr>
          <w:rFonts w:hint="eastAsia"/>
          <w:sz w:val="24"/>
        </w:rPr>
        <w:t>月</w:t>
      </w:r>
      <w:r w:rsidR="00D2478C">
        <w:rPr>
          <w:rFonts w:hint="eastAsia"/>
          <w:sz w:val="24"/>
        </w:rPr>
        <w:t xml:space="preserve">  </w:t>
      </w:r>
      <w:r w:rsidR="00D2478C">
        <w:rPr>
          <w:sz w:val="24"/>
        </w:rPr>
        <w:t xml:space="preserve"> </w:t>
      </w:r>
      <w:r w:rsidR="00D2478C">
        <w:rPr>
          <w:rFonts w:hint="eastAsia"/>
          <w:sz w:val="24"/>
        </w:rPr>
        <w:t>日</w:t>
      </w:r>
    </w:p>
    <w:sectPr w:rsidR="00FD1D29" w:rsidSect="00FD7618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4B" w:rsidRDefault="00D15B4B" w:rsidP="005020CE">
      <w:r>
        <w:separator/>
      </w:r>
    </w:p>
  </w:endnote>
  <w:endnote w:type="continuationSeparator" w:id="0">
    <w:p w:rsidR="00D15B4B" w:rsidRDefault="00D15B4B" w:rsidP="0050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4B" w:rsidRDefault="00D15B4B" w:rsidP="005020CE">
      <w:r>
        <w:separator/>
      </w:r>
    </w:p>
  </w:footnote>
  <w:footnote w:type="continuationSeparator" w:id="0">
    <w:p w:rsidR="00D15B4B" w:rsidRDefault="00D15B4B" w:rsidP="0050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CE"/>
    <w:rsid w:val="000A3D21"/>
    <w:rsid w:val="000F5AED"/>
    <w:rsid w:val="003B380F"/>
    <w:rsid w:val="003F33FC"/>
    <w:rsid w:val="004674AA"/>
    <w:rsid w:val="005020CE"/>
    <w:rsid w:val="005607E6"/>
    <w:rsid w:val="005D45D4"/>
    <w:rsid w:val="006001B4"/>
    <w:rsid w:val="00607ACE"/>
    <w:rsid w:val="00721A24"/>
    <w:rsid w:val="007557C4"/>
    <w:rsid w:val="00786EB7"/>
    <w:rsid w:val="009E3FA6"/>
    <w:rsid w:val="00AB26D4"/>
    <w:rsid w:val="00AF23BC"/>
    <w:rsid w:val="00C01926"/>
    <w:rsid w:val="00C244D9"/>
    <w:rsid w:val="00C35212"/>
    <w:rsid w:val="00D15B4B"/>
    <w:rsid w:val="00D2478C"/>
    <w:rsid w:val="00D52E63"/>
    <w:rsid w:val="00DD707C"/>
    <w:rsid w:val="00E22F54"/>
    <w:rsid w:val="00FD1D29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AC3AF"/>
  <w15:docId w15:val="{4198180F-637B-4B4A-B30B-8C11137A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0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0CE"/>
    <w:rPr>
      <w:sz w:val="18"/>
      <w:szCs w:val="18"/>
    </w:rPr>
  </w:style>
  <w:style w:type="character" w:styleId="a7">
    <w:name w:val="Hyperlink"/>
    <w:basedOn w:val="a0"/>
    <w:uiPriority w:val="99"/>
    <w:unhideWhenUsed/>
    <w:rsid w:val="005607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478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47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cxjk@mailbox.gx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孔凡壬</dc:creator>
  <cp:keywords/>
  <dc:description/>
  <cp:lastModifiedBy>教务处</cp:lastModifiedBy>
  <cp:revision>5</cp:revision>
  <cp:lastPrinted>2019-03-11T02:22:00Z</cp:lastPrinted>
  <dcterms:created xsi:type="dcterms:W3CDTF">2019-03-11T00:17:00Z</dcterms:created>
  <dcterms:modified xsi:type="dcterms:W3CDTF">2019-03-11T03:10:00Z</dcterms:modified>
</cp:coreProperties>
</file>