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教务〔2023〕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参加区级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第三批国家级一流本科课程建设与申报工作</w:t>
      </w:r>
    </w:p>
    <w:p>
      <w:pPr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培训会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的通知</w:t>
      </w:r>
    </w:p>
    <w:p>
      <w:pPr>
        <w:pStyle w:val="5"/>
        <w:widowControl/>
        <w:spacing w:beforeAutospacing="0" w:afterAutospacing="0" w:line="360" w:lineRule="auto"/>
        <w:textAlignment w:val="baseline"/>
        <w:rPr>
          <w:rFonts w:ascii="宋体" w:hAnsi="宋体" w:eastAsia="宋体" w:cs="宋体"/>
          <w:color w:val="000000"/>
        </w:rPr>
      </w:pPr>
    </w:p>
    <w:p>
      <w:pPr>
        <w:pStyle w:val="5"/>
        <w:widowControl/>
        <w:spacing w:beforeAutospacing="0" w:afterAutospacing="0" w:line="360" w:lineRule="auto"/>
        <w:textAlignment w:val="baseline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各学院（部）：</w:t>
      </w:r>
    </w:p>
    <w:p>
      <w:pPr>
        <w:pStyle w:val="5"/>
        <w:widowControl/>
        <w:spacing w:beforeAutospacing="0" w:afterAutospacing="0" w:line="360" w:lineRule="auto"/>
        <w:ind w:firstLine="560"/>
        <w:textAlignment w:val="baseline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为进一步推进一流本科课程建设，深化我校本科教育教学改革，推动我校本科课程质量和人才培养质量提升，经研究决定召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集我校计划申报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第三批国家级一流本科课程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的主要负责人参加自治区举办的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第三批国家级一流本科课程建设与申报工作培训会，现将有关事项通知如下：</w:t>
      </w:r>
    </w:p>
    <w:p>
      <w:pPr>
        <w:pStyle w:val="5"/>
        <w:widowControl/>
        <w:spacing w:beforeAutospacing="0" w:afterAutospacing="0" w:line="360" w:lineRule="auto"/>
        <w:textAlignment w:val="baseline"/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时间</w:t>
      </w:r>
    </w:p>
    <w:p>
      <w:pPr>
        <w:pStyle w:val="5"/>
        <w:widowControl/>
        <w:spacing w:beforeAutospacing="0" w:afterAutospacing="0" w:line="360" w:lineRule="auto"/>
        <w:ind w:firstLine="480" w:firstLineChars="200"/>
        <w:textAlignment w:val="baseline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/>
          <w14:textFill>
            <w14:solidFill>
              <w14:schemeClr w14:val="tx1"/>
            </w14:solidFill>
          </w14:textFill>
        </w:rPr>
        <w:t>2023年12月10日（星期日）14:00-18:00</w:t>
      </w:r>
    </w:p>
    <w:p>
      <w:pPr>
        <w:pStyle w:val="5"/>
        <w:widowControl/>
        <w:spacing w:beforeAutospacing="0" w:afterAutospacing="0" w:line="360" w:lineRule="auto"/>
        <w:textAlignment w:val="baseline"/>
        <w:rPr>
          <w:rFonts w:hint="eastAsia" w:asciiTheme="majorEastAsia" w:hAnsiTheme="majorEastAsia" w:eastAsiaTheme="majorEastAsia" w:cstheme="majorEastAsia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培训方式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360" w:lineRule="auto"/>
        <w:ind w:left="479" w:leftChars="228" w:firstLine="0" w:firstLineChars="0"/>
        <w:textAlignment w:val="baseline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本次培训全程采用腾讯会议线上直播， 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360" w:lineRule="auto"/>
        <w:ind w:left="479" w:leftChars="228" w:firstLine="0" w:firstLineChars="0"/>
        <w:textAlignment w:val="baseline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会议地址：https://meeting.tencent.com/dm/YFZ2LhJ59NM8 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360" w:lineRule="auto"/>
        <w:ind w:left="479" w:leftChars="228" w:firstLine="0" w:firstLineChars="0"/>
        <w:textAlignment w:val="baseline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腾讯会议：470-932-811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360" w:lineRule="auto"/>
        <w:ind w:left="479" w:leftChars="228" w:firstLine="0" w:firstLineChars="0"/>
        <w:textAlignment w:val="baseline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会议密码：031210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360" w:lineRule="auto"/>
        <w:ind w:left="479" w:leftChars="228" w:firstLine="0" w:firstLineChars="0"/>
        <w:textAlignment w:val="baseline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参加培训需填写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回执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，详情见附件1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360" w:lineRule="auto"/>
        <w:textAlignment w:val="baseline"/>
        <w:rPr>
          <w:rFonts w:hint="default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三、培训内容</w:t>
      </w:r>
    </w:p>
    <w:p>
      <w:pPr>
        <w:pStyle w:val="5"/>
        <w:widowControl/>
        <w:spacing w:beforeAutospacing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（一）国家级一流本科课程建设、申报认定 </w:t>
      </w:r>
    </w:p>
    <w:p>
      <w:pPr>
        <w:pStyle w:val="5"/>
        <w:widowControl/>
        <w:spacing w:beforeAutospacing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（二）高校如何开展一流课程应用与申报工作 </w:t>
      </w:r>
    </w:p>
    <w:p>
      <w:pPr>
        <w:pStyle w:val="5"/>
        <w:widowControl/>
        <w:spacing w:beforeAutospacing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（三）高校一流课程建设模式及混合式教学案例分享 </w:t>
      </w:r>
    </w:p>
    <w:p>
      <w:pPr>
        <w:pStyle w:val="5"/>
        <w:widowControl/>
        <w:spacing w:beforeAutospacing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（四）国家级一流课程《地球科学概论》慕课建设及应用经验分享</w:t>
      </w:r>
    </w:p>
    <w:p>
      <w:pPr>
        <w:pStyle w:val="5"/>
        <w:widowControl/>
        <w:spacing w:beforeAutospacing="0" w:afterAutospacing="0" w:line="360" w:lineRule="auto"/>
        <w:textAlignment w:val="baseline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、参会人员</w:t>
      </w:r>
    </w:p>
    <w:p>
      <w:pPr>
        <w:pStyle w:val="5"/>
        <w:widowControl/>
        <w:spacing w:beforeAutospacing="0" w:afterAutospacing="0" w:line="360" w:lineRule="auto"/>
        <w:ind w:firstLine="480" w:firstLineChars="200"/>
        <w:textAlignment w:val="baseline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（一）学校相关管理部门人员；</w:t>
      </w:r>
    </w:p>
    <w:p>
      <w:pPr>
        <w:pStyle w:val="5"/>
        <w:widowControl/>
        <w:spacing w:beforeAutospacing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（二）有意向申报第三批国家级一流本科课程的负责人，每门课程限1人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pacing w:beforeAutospacing="0" w:afterAutospacing="0" w:line="360" w:lineRule="auto"/>
        <w:textAlignment w:val="baseline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培训会安排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9506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7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16" w:type="dxa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690" w:type="dxa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ind w:firstLine="3120" w:firstLineChars="1300"/>
              <w:jc w:val="both"/>
              <w:textAlignment w:val="baseline"/>
              <w:rPr>
                <w:rFonts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816" w:type="dxa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14:00-14:10</w:t>
            </w:r>
          </w:p>
        </w:tc>
        <w:tc>
          <w:tcPr>
            <w:tcW w:w="769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主题：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培训工作安排</w:t>
            </w:r>
          </w:p>
          <w:p>
            <w:pPr>
              <w:pStyle w:val="5"/>
              <w:widowControl/>
              <w:spacing w:beforeAutospacing="0" w:afterAutospacing="0"/>
              <w:jc w:val="left"/>
              <w:textAlignment w:val="baseline"/>
              <w:rPr>
                <w:rFonts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主讲人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广西本科教育发展研究中心办公室负责人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816" w:type="dxa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14:10-15:40</w:t>
            </w:r>
          </w:p>
        </w:tc>
        <w:tc>
          <w:tcPr>
            <w:tcW w:w="769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主题：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国家级一流课程的建设、申报与认定</w:t>
            </w:r>
          </w:p>
          <w:p>
            <w:pPr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主讲人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：居烽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爱课程原副主任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816" w:type="dxa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15:40-16:20</w:t>
            </w:r>
          </w:p>
        </w:tc>
        <w:tc>
          <w:tcPr>
            <w:tcW w:w="7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主题：福州大学一流本科课程建设应用与申报</w:t>
            </w:r>
          </w:p>
          <w:p>
            <w:pPr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主讲人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：于岩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福州大学教务处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816" w:type="dxa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16:20-17:00</w:t>
            </w:r>
          </w:p>
        </w:tc>
        <w:tc>
          <w:tcPr>
            <w:tcW w:w="7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主题：西邮一流课程建设模式及混合式教学案例分享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主讲人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王曙燕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西安邮电大学教务处 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816" w:type="dxa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17:00-17:40</w:t>
            </w:r>
          </w:p>
        </w:tc>
        <w:tc>
          <w:tcPr>
            <w:tcW w:w="7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主题：国家线上一流课程《地球科学概论》慕课建设及应用经验分享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主讲人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赵义来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桂林理工大学教授</w:t>
            </w:r>
          </w:p>
        </w:tc>
      </w:tr>
    </w:tbl>
    <w:p>
      <w:pPr>
        <w:pStyle w:val="5"/>
        <w:widowControl/>
        <w:spacing w:beforeAutospacing="0" w:afterAutospacing="0" w:line="360" w:lineRule="auto"/>
        <w:textAlignment w:val="baseline"/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numPr>
          <w:ilvl w:val="0"/>
          <w:numId w:val="1"/>
        </w:numPr>
        <w:spacing w:beforeAutospacing="0" w:afterAutospacing="0" w:line="360" w:lineRule="auto"/>
        <w:textAlignment w:val="baseline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相关要求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360" w:lineRule="auto"/>
        <w:ind w:left="719" w:leftChars="228" w:hanging="240" w:hangingChars="100"/>
        <w:textAlignment w:val="baseline"/>
        <w:rPr>
          <w:rFonts w:hint="default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参会负责人填写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附件1参加培训回执单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并于12月8日中午12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点前发送至邮箱</w:t>
      </w:r>
      <w:r>
        <w:rPr>
          <w:rFonts w:ascii="宋体" w:hAnsi="宋体" w:eastAsia="宋体" w:cs="宋体"/>
          <w:sz w:val="24"/>
          <w:szCs w:val="24"/>
        </w:rPr>
        <w:t>gxsdylkc@126.com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widowControl/>
        <w:spacing w:beforeAutospacing="0" w:afterAutospacing="0" w:line="360" w:lineRule="auto"/>
        <w:ind w:firstLine="480" w:firstLineChars="200"/>
        <w:textAlignment w:val="baseline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）请参会人员于下午13:50前，进入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会议；</w:t>
      </w:r>
    </w:p>
    <w:p>
      <w:pPr>
        <w:pStyle w:val="5"/>
        <w:widowControl/>
        <w:spacing w:beforeAutospacing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线上会议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无回放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参会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人员务必准时参会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pacing w:beforeAutospacing="0" w:afterAutospacing="0" w:line="360" w:lineRule="auto"/>
        <w:jc w:val="both"/>
        <w:textAlignment w:val="baseline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 </w:t>
      </w:r>
    </w:p>
    <w:p>
      <w:pPr>
        <w:pStyle w:val="5"/>
        <w:widowControl/>
        <w:spacing w:beforeAutospacing="0" w:afterAutospacing="0" w:line="360" w:lineRule="auto"/>
        <w:textAlignment w:val="baseline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pacing w:beforeAutospacing="0" w:afterAutospacing="0" w:line="360" w:lineRule="auto"/>
        <w:jc w:val="right"/>
        <w:textAlignment w:val="baseline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教务处/教师发展中心</w:t>
      </w:r>
    </w:p>
    <w:p>
      <w:pPr>
        <w:pStyle w:val="5"/>
        <w:widowControl/>
        <w:spacing w:beforeAutospacing="0" w:afterAutospacing="0" w:line="360" w:lineRule="auto"/>
        <w:jc w:val="right"/>
        <w:textAlignment w:val="baseline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2023年12月6日</w:t>
      </w:r>
    </w:p>
    <w:p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参加培训回执单</w:t>
      </w:r>
    </w:p>
    <w:tbl>
      <w:tblPr>
        <w:tblStyle w:val="7"/>
        <w:tblpPr w:leftFromText="180" w:rightFromText="180" w:vertAnchor="text" w:horzAnchor="page" w:tblpX="634" w:tblpY="470"/>
        <w:tblOverlap w:val="never"/>
        <w:tblW w:w="10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93"/>
        <w:gridCol w:w="880"/>
        <w:gridCol w:w="2501"/>
        <w:gridCol w:w="939"/>
        <w:gridCol w:w="1768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申报课程名称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注：参加培训课程负责人填写上述报名回执并于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12月8日中午12点前，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发送至学校一流课程邮箱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gxsdylkc@163.com。</w:t>
      </w:r>
    </w:p>
    <w:p>
      <w:pPr>
        <w:pStyle w:val="5"/>
        <w:widowControl/>
        <w:spacing w:beforeAutospacing="0" w:afterAutospacing="0" w:line="360" w:lineRule="auto"/>
        <w:jc w:val="left"/>
        <w:textAlignment w:val="baseline"/>
        <w:rPr>
          <w:rFonts w:hint="default" w:ascii="宋体" w:hAnsi="宋体" w:eastAsia="宋体" w:cs="宋体"/>
          <w:color w:val="00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F5F39F"/>
    <w:multiLevelType w:val="singleLevel"/>
    <w:tmpl w:val="21F5F39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N2M0M2Y1NjMwN2M4YWVmOWY1MWI0OWVlNjIzOTcifQ=="/>
  </w:docVars>
  <w:rsids>
    <w:rsidRoot w:val="429729B0"/>
    <w:rsid w:val="001A5850"/>
    <w:rsid w:val="001D6D92"/>
    <w:rsid w:val="003114B5"/>
    <w:rsid w:val="0035092A"/>
    <w:rsid w:val="0041678D"/>
    <w:rsid w:val="006D6EE7"/>
    <w:rsid w:val="007600FD"/>
    <w:rsid w:val="008628D0"/>
    <w:rsid w:val="00975E4E"/>
    <w:rsid w:val="00986018"/>
    <w:rsid w:val="00A61434"/>
    <w:rsid w:val="00CC65FF"/>
    <w:rsid w:val="00D073AA"/>
    <w:rsid w:val="00E549EB"/>
    <w:rsid w:val="043B18E1"/>
    <w:rsid w:val="05121E5F"/>
    <w:rsid w:val="07EC1CA1"/>
    <w:rsid w:val="080F08D8"/>
    <w:rsid w:val="09842C00"/>
    <w:rsid w:val="0AEC4F01"/>
    <w:rsid w:val="0B087BA3"/>
    <w:rsid w:val="0B0F583E"/>
    <w:rsid w:val="0B981D22"/>
    <w:rsid w:val="0D0B1BDD"/>
    <w:rsid w:val="0E2C4F72"/>
    <w:rsid w:val="16AF4D5F"/>
    <w:rsid w:val="17B1375A"/>
    <w:rsid w:val="182315BF"/>
    <w:rsid w:val="1A210937"/>
    <w:rsid w:val="1C424981"/>
    <w:rsid w:val="1CF232E1"/>
    <w:rsid w:val="1D396986"/>
    <w:rsid w:val="1F0028D1"/>
    <w:rsid w:val="207709AF"/>
    <w:rsid w:val="21A2432F"/>
    <w:rsid w:val="23C85531"/>
    <w:rsid w:val="25826FCB"/>
    <w:rsid w:val="299A22A0"/>
    <w:rsid w:val="2A5626E8"/>
    <w:rsid w:val="2CBB75AC"/>
    <w:rsid w:val="302E00A6"/>
    <w:rsid w:val="36592B9B"/>
    <w:rsid w:val="37B207B5"/>
    <w:rsid w:val="3D1E4B3E"/>
    <w:rsid w:val="3DBA03C3"/>
    <w:rsid w:val="429729B0"/>
    <w:rsid w:val="44CB24BB"/>
    <w:rsid w:val="45B71FEF"/>
    <w:rsid w:val="45FE72BB"/>
    <w:rsid w:val="46A82FC9"/>
    <w:rsid w:val="48802209"/>
    <w:rsid w:val="4A7A7858"/>
    <w:rsid w:val="4B6B0F4E"/>
    <w:rsid w:val="4B743728"/>
    <w:rsid w:val="4CDC22A6"/>
    <w:rsid w:val="4EE45C29"/>
    <w:rsid w:val="50FB6E77"/>
    <w:rsid w:val="51214365"/>
    <w:rsid w:val="513B7615"/>
    <w:rsid w:val="523E560F"/>
    <w:rsid w:val="53D87963"/>
    <w:rsid w:val="55C12DA1"/>
    <w:rsid w:val="56D93B58"/>
    <w:rsid w:val="57A777B2"/>
    <w:rsid w:val="58693900"/>
    <w:rsid w:val="59B9557B"/>
    <w:rsid w:val="5C675D1D"/>
    <w:rsid w:val="5EAD7356"/>
    <w:rsid w:val="5EAF73F9"/>
    <w:rsid w:val="67346B89"/>
    <w:rsid w:val="6CE150BD"/>
    <w:rsid w:val="6ED722D3"/>
    <w:rsid w:val="6EF47329"/>
    <w:rsid w:val="71527F65"/>
    <w:rsid w:val="74312486"/>
    <w:rsid w:val="76880357"/>
    <w:rsid w:val="78A7540C"/>
    <w:rsid w:val="7C04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38"/>
    </w:pPr>
    <w:rPr>
      <w:sz w:val="24"/>
      <w:szCs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321</Words>
  <Characters>1835</Characters>
  <Lines>15</Lines>
  <Paragraphs>4</Paragraphs>
  <TotalTime>9</TotalTime>
  <ScaleCrop>false</ScaleCrop>
  <LinksUpToDate>false</LinksUpToDate>
  <CharactersWithSpaces>2152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2022-01-14T03:11:00Z</dcterms:created>
  <dc:creator>小悠</dc:creator>
  <cp:lastModifiedBy>HUAWEI</cp:lastModifiedBy>
  <cp:lastPrinted>2023-12-06T03:59:00Z</cp:lastPrinted>
  <dcterms:modified xsi:type="dcterms:W3CDTF">2023-12-06T09:17:00Z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518CC29401744DBE92723F7256DADFD3</vt:lpwstr>
  </property>
</Properties>
</file>