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jc w:val="center"/>
        <w:outlineLvl w:val="2"/>
        <w:rPr>
          <w:rFonts w:hint="eastAsia" w:ascii="宋体" w:hAnsi="宋体" w:eastAsia="宋体" w:cs="宋体"/>
          <w:b/>
          <w:bCs/>
          <w:kern w:val="0"/>
          <w:sz w:val="27"/>
          <w:szCs w:val="27"/>
        </w:rPr>
      </w:pPr>
    </w:p>
    <w:p>
      <w:pPr>
        <w:widowControl/>
        <w:shd w:val="clear" w:color="auto" w:fill="FFFFFF"/>
        <w:spacing w:before="100" w:beforeAutospacing="1" w:after="100" w:afterAutospacing="1" w:line="450" w:lineRule="atLeast"/>
        <w:jc w:val="center"/>
        <w:outlineLvl w:val="2"/>
        <w:rPr>
          <w:rFonts w:hint="eastAsia" w:ascii="宋体" w:hAnsi="宋体" w:eastAsia="宋体" w:cs="宋体"/>
          <w:b/>
          <w:bCs/>
          <w:kern w:val="0"/>
          <w:sz w:val="27"/>
          <w:szCs w:val="27"/>
        </w:rPr>
      </w:pPr>
    </w:p>
    <w:p>
      <w:pPr>
        <w:widowControl/>
        <w:shd w:val="clear" w:color="auto" w:fill="FFFFFF"/>
        <w:spacing w:before="100" w:beforeAutospacing="1" w:after="100" w:afterAutospacing="1" w:line="450" w:lineRule="atLeast"/>
        <w:jc w:val="center"/>
        <w:outlineLvl w:val="2"/>
        <w:rPr>
          <w:rFonts w:hint="eastAsia" w:ascii="宋体" w:hAnsi="宋体" w:eastAsia="宋体" w:cs="宋体"/>
          <w:b/>
          <w:bCs/>
          <w:kern w:val="0"/>
          <w:sz w:val="27"/>
          <w:szCs w:val="27"/>
        </w:rPr>
      </w:pPr>
    </w:p>
    <w:p>
      <w:pPr>
        <w:widowControl/>
        <w:shd w:val="clear" w:color="auto" w:fill="FFFFFF"/>
        <w:spacing w:before="100" w:beforeAutospacing="1" w:after="100" w:afterAutospacing="1" w:line="450" w:lineRule="atLeast"/>
        <w:jc w:val="center"/>
        <w:outlineLvl w:val="2"/>
        <w:rPr>
          <w:rFonts w:hint="eastAsia" w:ascii="宋体" w:hAnsi="宋体" w:eastAsia="宋体" w:cs="宋体"/>
          <w:b/>
          <w:bCs/>
          <w:kern w:val="0"/>
          <w:sz w:val="27"/>
          <w:szCs w:val="27"/>
        </w:rPr>
      </w:pPr>
      <w:bookmarkStart w:id="0" w:name="_GoBack"/>
      <w:bookmarkEnd w:id="0"/>
    </w:p>
    <w:p>
      <w:pPr>
        <w:widowControl/>
        <w:shd w:val="clear" w:color="auto" w:fill="FFFFFF"/>
        <w:spacing w:before="100" w:beforeAutospacing="1" w:after="100" w:afterAutospacing="1" w:line="450" w:lineRule="atLeast"/>
        <w:jc w:val="center"/>
        <w:outlineLvl w:val="2"/>
        <w:rPr>
          <w:rFonts w:hint="eastAsia" w:ascii="宋体" w:hAnsi="宋体" w:eastAsia="宋体" w:cs="宋体"/>
          <w:b/>
          <w:bCs/>
          <w:kern w:val="0"/>
          <w:sz w:val="28"/>
          <w:szCs w:val="28"/>
        </w:rPr>
      </w:pPr>
      <w:r>
        <w:rPr>
          <w:rFonts w:ascii="宋体" w:hAnsi="宋体" w:eastAsia="宋体" w:cs="宋体"/>
          <w:b/>
          <w:bCs/>
          <w:sz w:val="28"/>
          <w:szCs w:val="28"/>
        </w:rPr>
        <w:t>教务〔2018〕3</w:t>
      </w:r>
      <w:r>
        <w:rPr>
          <w:rFonts w:hint="eastAsia" w:ascii="宋体" w:hAnsi="宋体" w:eastAsia="宋体" w:cs="宋体"/>
          <w:b/>
          <w:bCs/>
          <w:sz w:val="28"/>
          <w:szCs w:val="28"/>
          <w:lang w:val="en-US" w:eastAsia="zh-CN"/>
        </w:rPr>
        <w:t>9</w:t>
      </w:r>
      <w:r>
        <w:rPr>
          <w:rFonts w:ascii="宋体" w:hAnsi="宋体" w:eastAsia="宋体" w:cs="宋体"/>
          <w:b/>
          <w:bCs/>
          <w:sz w:val="28"/>
          <w:szCs w:val="28"/>
        </w:rPr>
        <w:t>号</w:t>
      </w:r>
    </w:p>
    <w:p>
      <w:pPr>
        <w:widowControl/>
        <w:shd w:val="clear" w:color="auto" w:fill="FFFFFF"/>
        <w:spacing w:before="100" w:beforeAutospacing="1" w:after="100" w:afterAutospacing="1" w:line="450" w:lineRule="atLeast"/>
        <w:jc w:val="center"/>
        <w:outlineLvl w:val="2"/>
        <w:rPr>
          <w:rFonts w:ascii="宋体" w:hAnsi="宋体" w:eastAsia="宋体" w:cs="宋体"/>
          <w:b/>
          <w:bCs/>
          <w:kern w:val="0"/>
          <w:sz w:val="32"/>
          <w:szCs w:val="32"/>
        </w:rPr>
      </w:pPr>
      <w:r>
        <w:rPr>
          <w:rFonts w:hint="eastAsia" w:ascii="宋体" w:hAnsi="宋体" w:eastAsia="宋体" w:cs="宋体"/>
          <w:b/>
          <w:bCs/>
          <w:kern w:val="0"/>
          <w:sz w:val="32"/>
          <w:szCs w:val="32"/>
        </w:rPr>
        <w:t>关于修（制）订201</w:t>
      </w:r>
      <w:r>
        <w:rPr>
          <w:rFonts w:hint="eastAsia" w:ascii="宋体" w:hAnsi="宋体" w:eastAsia="宋体" w:cs="宋体"/>
          <w:b/>
          <w:bCs/>
          <w:kern w:val="0"/>
          <w:sz w:val="32"/>
          <w:szCs w:val="32"/>
          <w:lang w:val="en-US" w:eastAsia="zh-CN"/>
        </w:rPr>
        <w:t>8</w:t>
      </w:r>
      <w:r>
        <w:rPr>
          <w:rFonts w:hint="eastAsia" w:ascii="宋体" w:hAnsi="宋体" w:eastAsia="宋体" w:cs="宋体"/>
          <w:b/>
          <w:bCs/>
          <w:kern w:val="0"/>
          <w:sz w:val="32"/>
          <w:szCs w:val="32"/>
        </w:rPr>
        <w:t>级全日制普通本科专业人才培养方案的通知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jc w:val="left"/>
        <w:textAlignment w:val="auto"/>
        <w:outlineLvl w:val="9"/>
        <w:rPr>
          <w:rFonts w:ascii="宋体" w:hAnsi="宋体" w:eastAsia="宋体" w:cs="宋体"/>
          <w:kern w:val="0"/>
          <w:sz w:val="24"/>
          <w:szCs w:val="24"/>
        </w:rPr>
      </w:pPr>
      <w:r>
        <w:rPr>
          <w:rFonts w:hint="eastAsia" w:ascii="宋体" w:hAnsi="宋体" w:eastAsia="宋体" w:cs="宋体"/>
          <w:kern w:val="0"/>
          <w:sz w:val="24"/>
          <w:szCs w:val="24"/>
        </w:rPr>
        <w:t>各学院（部）、各单位：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了推进学校“双一流”建设，深入落实教育部《普通高等学校本科专业类教学质量国家标准》和我校第十一次党代会精神，结合专业评估、专业认证的要求不断调整优化专业结构，深化课程体系改革，凝练专业核心课程，加大学分制改革力度，提高人才培养质量，从即日起启动2018级全日制普通本科专业人才培养方案（以下简称“2018级培养方案”）修（制）订工作。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黑体" w:hAnsi="黑体" w:eastAsia="黑体" w:cs="黑体"/>
          <w:kern w:val="0"/>
          <w:sz w:val="24"/>
          <w:szCs w:val="24"/>
        </w:rPr>
      </w:pPr>
      <w:r>
        <w:rPr>
          <w:rFonts w:hint="eastAsia" w:ascii="黑体" w:hAnsi="黑体" w:eastAsia="黑体" w:cs="黑体"/>
          <w:b/>
          <w:bCs/>
          <w:kern w:val="0"/>
          <w:sz w:val="24"/>
          <w:szCs w:val="24"/>
        </w:rPr>
        <w:t>一、各主要指标的修订要求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级培养方案的修（制）订工作，原则上</w:t>
      </w:r>
      <w:r>
        <w:rPr>
          <w:rFonts w:hint="eastAsia" w:ascii="宋体" w:hAnsi="宋体" w:eastAsia="宋体" w:cs="宋体"/>
          <w:kern w:val="0"/>
          <w:sz w:val="24"/>
          <w:szCs w:val="24"/>
          <w:lang w:val="en-US" w:eastAsia="zh-CN"/>
        </w:rPr>
        <w:t>必须依据《普通高等学校本科专业类教学质量国家标准》和</w:t>
      </w:r>
      <w:r>
        <w:rPr>
          <w:rFonts w:hint="eastAsia" w:ascii="宋体" w:hAnsi="宋体" w:eastAsia="宋体" w:cs="宋体"/>
          <w:kern w:val="0"/>
          <w:sz w:val="24"/>
          <w:szCs w:val="24"/>
        </w:rPr>
        <w:t>遵照《广西师范大学关于修（制）订2016年版本科专业人才培养方案的指导性意见》（师政教学〔2016〕109号）的要求进行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除本年度新计划安排的专业需启动新的人才培养方案外，其余计划在本年度继续安排招生的专业原则上要求在201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级培养方案的基础上，结合社会经济发展需要进行适当修订。各主要指标的基本要求如下：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（一）总学分和总学时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我校已实行按学分收费制度，制定教学计划时需考虑办学成本和学生利益,不得突破规定的总学分和总学时数。201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级全日制普通本科各专业的总学分和总学时要求见表1；各专业各类课程的学分计算方法见表2。</w:t>
      </w:r>
    </w:p>
    <w:p>
      <w:pPr>
        <w:widowControl/>
        <w:shd w:val="clear" w:color="auto" w:fill="FFFFFF"/>
        <w:spacing w:before="100" w:beforeAutospacing="1" w:after="100" w:afterAutospacing="1" w:line="450" w:lineRule="atLeast"/>
        <w:ind w:firstLine="480"/>
        <w:jc w:val="center"/>
        <w:rPr>
          <w:rFonts w:ascii="宋体" w:hAnsi="宋体" w:eastAsia="宋体" w:cs="宋体"/>
          <w:kern w:val="0"/>
          <w:sz w:val="24"/>
          <w:szCs w:val="24"/>
        </w:rPr>
      </w:pPr>
      <w:r>
        <w:rPr>
          <w:rFonts w:hint="eastAsia" w:ascii="宋体" w:hAnsi="宋体" w:eastAsia="宋体" w:cs="宋体"/>
          <w:b/>
          <w:bCs/>
          <w:kern w:val="0"/>
          <w:sz w:val="24"/>
          <w:szCs w:val="24"/>
        </w:rPr>
        <w:t>表1　各类专业的总学分要求及周学分安排</w:t>
      </w:r>
    </w:p>
    <w:p>
      <w:pPr>
        <w:spacing w:line="100" w:lineRule="exact"/>
        <w:ind w:firstLine="480"/>
        <w:jc w:val="center"/>
        <w:rPr>
          <w:rFonts w:eastAsia="黑体"/>
          <w:sz w:val="24"/>
        </w:rPr>
      </w:pPr>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212"/>
        <w:gridCol w:w="221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088" w:type="dxa"/>
            <w:vAlign w:val="center"/>
          </w:tcPr>
          <w:p>
            <w:pPr>
              <w:pStyle w:val="7"/>
              <w:jc w:val="center"/>
              <w:rPr>
                <w:rFonts w:eastAsia="仿宋_GB2312"/>
                <w:b/>
                <w:sz w:val="21"/>
                <w:szCs w:val="21"/>
              </w:rPr>
            </w:pPr>
            <w:r>
              <w:rPr>
                <w:rFonts w:eastAsia="仿宋_GB2312"/>
                <w:b/>
                <w:sz w:val="21"/>
                <w:szCs w:val="21"/>
              </w:rPr>
              <w:t>基本学制</w:t>
            </w:r>
          </w:p>
        </w:tc>
        <w:tc>
          <w:tcPr>
            <w:tcW w:w="2212" w:type="dxa"/>
            <w:vAlign w:val="center"/>
          </w:tcPr>
          <w:p>
            <w:pPr>
              <w:pStyle w:val="7"/>
              <w:jc w:val="center"/>
              <w:rPr>
                <w:rFonts w:eastAsia="仿宋_GB2312"/>
                <w:b/>
                <w:sz w:val="21"/>
                <w:szCs w:val="21"/>
              </w:rPr>
            </w:pPr>
            <w:r>
              <w:rPr>
                <w:rFonts w:eastAsia="仿宋_GB2312"/>
                <w:b/>
                <w:sz w:val="21"/>
                <w:szCs w:val="21"/>
              </w:rPr>
              <w:t>专业类别</w:t>
            </w:r>
          </w:p>
        </w:tc>
        <w:tc>
          <w:tcPr>
            <w:tcW w:w="2213" w:type="dxa"/>
            <w:vAlign w:val="center"/>
          </w:tcPr>
          <w:p>
            <w:pPr>
              <w:pStyle w:val="7"/>
              <w:jc w:val="center"/>
              <w:rPr>
                <w:rFonts w:eastAsia="仿宋_GB2312"/>
                <w:b/>
                <w:sz w:val="21"/>
                <w:szCs w:val="21"/>
              </w:rPr>
            </w:pPr>
            <w:r>
              <w:rPr>
                <w:rFonts w:eastAsia="仿宋_GB2312"/>
                <w:b/>
                <w:sz w:val="21"/>
                <w:szCs w:val="21"/>
              </w:rPr>
              <w:t>总学分</w:t>
            </w:r>
          </w:p>
        </w:tc>
        <w:tc>
          <w:tcPr>
            <w:tcW w:w="2213" w:type="dxa"/>
            <w:vAlign w:val="center"/>
          </w:tcPr>
          <w:p>
            <w:pPr>
              <w:pStyle w:val="7"/>
              <w:jc w:val="center"/>
              <w:rPr>
                <w:rFonts w:eastAsia="仿宋_GB2312"/>
                <w:b/>
                <w:sz w:val="21"/>
                <w:szCs w:val="21"/>
              </w:rPr>
            </w:pPr>
            <w:r>
              <w:rPr>
                <w:rFonts w:eastAsia="仿宋_GB2312"/>
                <w:b/>
                <w:sz w:val="21"/>
                <w:szCs w:val="21"/>
              </w:rPr>
              <w:t>课内总学时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88" w:type="dxa"/>
            <w:vMerge w:val="restart"/>
            <w:vAlign w:val="center"/>
          </w:tcPr>
          <w:p>
            <w:pPr>
              <w:pStyle w:val="7"/>
              <w:jc w:val="center"/>
              <w:rPr>
                <w:rFonts w:eastAsia="仿宋_GB2312"/>
                <w:sz w:val="21"/>
                <w:szCs w:val="21"/>
              </w:rPr>
            </w:pPr>
            <w:r>
              <w:rPr>
                <w:rFonts w:eastAsia="仿宋_GB2312"/>
                <w:sz w:val="21"/>
                <w:szCs w:val="21"/>
              </w:rPr>
              <w:t>4年制</w:t>
            </w:r>
          </w:p>
        </w:tc>
        <w:tc>
          <w:tcPr>
            <w:tcW w:w="2212" w:type="dxa"/>
          </w:tcPr>
          <w:p>
            <w:pPr>
              <w:pStyle w:val="7"/>
              <w:rPr>
                <w:rFonts w:eastAsia="仿宋_GB2312"/>
                <w:sz w:val="21"/>
                <w:szCs w:val="21"/>
              </w:rPr>
            </w:pPr>
            <w:r>
              <w:rPr>
                <w:rFonts w:eastAsia="仿宋_GB2312"/>
                <w:sz w:val="21"/>
                <w:szCs w:val="21"/>
              </w:rPr>
              <w:t>人文社科类</w:t>
            </w:r>
          </w:p>
        </w:tc>
        <w:tc>
          <w:tcPr>
            <w:tcW w:w="2213" w:type="dxa"/>
            <w:vAlign w:val="center"/>
          </w:tcPr>
          <w:p>
            <w:pPr>
              <w:pStyle w:val="7"/>
              <w:jc w:val="center"/>
              <w:rPr>
                <w:rFonts w:eastAsia="仿宋_GB2312"/>
                <w:sz w:val="21"/>
                <w:szCs w:val="21"/>
              </w:rPr>
            </w:pPr>
            <w:r>
              <w:rPr>
                <w:rFonts w:eastAsia="仿宋_GB2312"/>
                <w:sz w:val="21"/>
                <w:szCs w:val="21"/>
              </w:rPr>
              <w:t>不低于160</w:t>
            </w:r>
          </w:p>
        </w:tc>
        <w:tc>
          <w:tcPr>
            <w:tcW w:w="2213" w:type="dxa"/>
            <w:vAlign w:val="center"/>
          </w:tcPr>
          <w:p>
            <w:pPr>
              <w:pStyle w:val="7"/>
              <w:jc w:val="center"/>
              <w:rPr>
                <w:rFonts w:eastAsia="仿宋_GB2312"/>
                <w:sz w:val="21"/>
                <w:szCs w:val="21"/>
              </w:rPr>
            </w:pPr>
            <w:r>
              <w:rPr>
                <w:rFonts w:eastAsia="仿宋_GB2312"/>
                <w:sz w:val="21"/>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88" w:type="dxa"/>
            <w:vMerge w:val="continue"/>
            <w:vAlign w:val="center"/>
          </w:tcPr>
          <w:p>
            <w:pPr>
              <w:pStyle w:val="7"/>
              <w:jc w:val="center"/>
              <w:rPr>
                <w:rFonts w:eastAsia="仿宋_GB2312"/>
                <w:sz w:val="21"/>
                <w:szCs w:val="21"/>
              </w:rPr>
            </w:pPr>
          </w:p>
        </w:tc>
        <w:tc>
          <w:tcPr>
            <w:tcW w:w="2212" w:type="dxa"/>
          </w:tcPr>
          <w:p>
            <w:pPr>
              <w:pStyle w:val="7"/>
              <w:rPr>
                <w:rFonts w:eastAsia="仿宋_GB2312"/>
                <w:sz w:val="21"/>
                <w:szCs w:val="21"/>
              </w:rPr>
            </w:pPr>
            <w:r>
              <w:rPr>
                <w:rFonts w:eastAsia="仿宋_GB2312"/>
                <w:sz w:val="21"/>
                <w:szCs w:val="21"/>
              </w:rPr>
              <w:t>艺术、体育类</w:t>
            </w:r>
          </w:p>
        </w:tc>
        <w:tc>
          <w:tcPr>
            <w:tcW w:w="2213" w:type="dxa"/>
            <w:vAlign w:val="center"/>
          </w:tcPr>
          <w:p>
            <w:pPr>
              <w:pStyle w:val="7"/>
              <w:jc w:val="center"/>
              <w:rPr>
                <w:rFonts w:eastAsia="仿宋_GB2312"/>
                <w:sz w:val="21"/>
                <w:szCs w:val="21"/>
              </w:rPr>
            </w:pPr>
            <w:r>
              <w:rPr>
                <w:rFonts w:eastAsia="仿宋_GB2312"/>
                <w:sz w:val="21"/>
                <w:szCs w:val="21"/>
              </w:rPr>
              <w:t>不低于165</w:t>
            </w:r>
          </w:p>
        </w:tc>
        <w:tc>
          <w:tcPr>
            <w:tcW w:w="2213" w:type="dxa"/>
            <w:vAlign w:val="center"/>
          </w:tcPr>
          <w:p>
            <w:pPr>
              <w:pStyle w:val="7"/>
              <w:jc w:val="center"/>
              <w:rPr>
                <w:rFonts w:eastAsia="仿宋_GB2312"/>
                <w:sz w:val="21"/>
                <w:szCs w:val="21"/>
              </w:rPr>
            </w:pPr>
            <w:r>
              <w:rPr>
                <w:rFonts w:eastAsia="仿宋_GB2312"/>
                <w:sz w:val="21"/>
                <w:szCs w:val="21"/>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2088" w:type="dxa"/>
            <w:vMerge w:val="continue"/>
            <w:vAlign w:val="center"/>
          </w:tcPr>
          <w:p>
            <w:pPr>
              <w:pStyle w:val="7"/>
              <w:jc w:val="center"/>
              <w:rPr>
                <w:rFonts w:eastAsia="仿宋_GB2312"/>
                <w:sz w:val="21"/>
                <w:szCs w:val="21"/>
              </w:rPr>
            </w:pPr>
          </w:p>
        </w:tc>
        <w:tc>
          <w:tcPr>
            <w:tcW w:w="2212" w:type="dxa"/>
          </w:tcPr>
          <w:p>
            <w:pPr>
              <w:pStyle w:val="7"/>
              <w:rPr>
                <w:rFonts w:eastAsia="仿宋_GB2312"/>
                <w:sz w:val="21"/>
                <w:szCs w:val="21"/>
              </w:rPr>
            </w:pPr>
            <w:r>
              <w:rPr>
                <w:rFonts w:eastAsia="仿宋_GB2312"/>
                <w:sz w:val="21"/>
                <w:szCs w:val="21"/>
              </w:rPr>
              <w:t>理工类</w:t>
            </w:r>
          </w:p>
        </w:tc>
        <w:tc>
          <w:tcPr>
            <w:tcW w:w="2213" w:type="dxa"/>
            <w:vAlign w:val="center"/>
          </w:tcPr>
          <w:p>
            <w:pPr>
              <w:pStyle w:val="7"/>
              <w:jc w:val="center"/>
              <w:rPr>
                <w:rFonts w:eastAsia="仿宋_GB2312"/>
                <w:sz w:val="21"/>
                <w:szCs w:val="21"/>
              </w:rPr>
            </w:pPr>
            <w:r>
              <w:rPr>
                <w:rFonts w:eastAsia="仿宋_GB2312"/>
                <w:sz w:val="21"/>
                <w:szCs w:val="21"/>
              </w:rPr>
              <w:t>不低于165</w:t>
            </w:r>
          </w:p>
        </w:tc>
        <w:tc>
          <w:tcPr>
            <w:tcW w:w="2213" w:type="dxa"/>
            <w:vAlign w:val="center"/>
          </w:tcPr>
          <w:p>
            <w:pPr>
              <w:pStyle w:val="7"/>
              <w:jc w:val="center"/>
              <w:rPr>
                <w:rFonts w:eastAsia="仿宋_GB2312"/>
                <w:sz w:val="21"/>
                <w:szCs w:val="21"/>
              </w:rPr>
            </w:pPr>
            <w:r>
              <w:rPr>
                <w:rFonts w:eastAsia="仿宋_GB2312"/>
                <w:sz w:val="21"/>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088" w:type="dxa"/>
            <w:vMerge w:val="restart"/>
            <w:vAlign w:val="center"/>
          </w:tcPr>
          <w:p>
            <w:pPr>
              <w:pStyle w:val="7"/>
              <w:jc w:val="center"/>
              <w:rPr>
                <w:rFonts w:eastAsia="仿宋_GB2312"/>
                <w:sz w:val="21"/>
                <w:szCs w:val="21"/>
              </w:rPr>
            </w:pPr>
            <w:r>
              <w:rPr>
                <w:rFonts w:eastAsia="仿宋_GB2312"/>
                <w:sz w:val="21"/>
                <w:szCs w:val="21"/>
              </w:rPr>
              <w:t>2年制</w:t>
            </w:r>
          </w:p>
          <w:p>
            <w:pPr>
              <w:pStyle w:val="7"/>
              <w:jc w:val="center"/>
              <w:rPr>
                <w:rFonts w:eastAsia="仿宋_GB2312"/>
                <w:sz w:val="21"/>
                <w:szCs w:val="21"/>
              </w:rPr>
            </w:pPr>
            <w:r>
              <w:rPr>
                <w:rFonts w:eastAsia="仿宋_GB2312"/>
                <w:sz w:val="21"/>
                <w:szCs w:val="21"/>
              </w:rPr>
              <w:t>（专升本）</w:t>
            </w:r>
          </w:p>
        </w:tc>
        <w:tc>
          <w:tcPr>
            <w:tcW w:w="2212" w:type="dxa"/>
          </w:tcPr>
          <w:p>
            <w:pPr>
              <w:pStyle w:val="7"/>
              <w:rPr>
                <w:rFonts w:eastAsia="仿宋_GB2312"/>
                <w:sz w:val="21"/>
                <w:szCs w:val="21"/>
              </w:rPr>
            </w:pPr>
            <w:r>
              <w:rPr>
                <w:rFonts w:eastAsia="仿宋_GB2312"/>
                <w:sz w:val="21"/>
                <w:szCs w:val="21"/>
              </w:rPr>
              <w:t>人文社科类</w:t>
            </w:r>
          </w:p>
        </w:tc>
        <w:tc>
          <w:tcPr>
            <w:tcW w:w="2213" w:type="dxa"/>
            <w:vAlign w:val="center"/>
          </w:tcPr>
          <w:p>
            <w:pPr>
              <w:pStyle w:val="7"/>
              <w:jc w:val="center"/>
              <w:rPr>
                <w:rFonts w:eastAsia="仿宋_GB2312"/>
                <w:sz w:val="21"/>
                <w:szCs w:val="21"/>
              </w:rPr>
            </w:pPr>
            <w:r>
              <w:rPr>
                <w:rFonts w:eastAsia="仿宋_GB2312"/>
                <w:sz w:val="21"/>
                <w:szCs w:val="21"/>
              </w:rPr>
              <w:t>不低于80</w:t>
            </w:r>
          </w:p>
        </w:tc>
        <w:tc>
          <w:tcPr>
            <w:tcW w:w="2213" w:type="dxa"/>
            <w:vAlign w:val="center"/>
          </w:tcPr>
          <w:p>
            <w:pPr>
              <w:pStyle w:val="7"/>
              <w:jc w:val="center"/>
              <w:rPr>
                <w:rFonts w:eastAsia="仿宋_GB2312"/>
                <w:sz w:val="21"/>
                <w:szCs w:val="21"/>
              </w:rPr>
            </w:pPr>
            <w:r>
              <w:rPr>
                <w:rFonts w:eastAsia="仿宋_GB2312"/>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088" w:type="dxa"/>
            <w:vMerge w:val="continue"/>
            <w:vAlign w:val="center"/>
          </w:tcPr>
          <w:p>
            <w:pPr>
              <w:pStyle w:val="7"/>
              <w:jc w:val="center"/>
              <w:rPr>
                <w:rFonts w:eastAsia="仿宋_GB2312"/>
                <w:sz w:val="21"/>
                <w:szCs w:val="21"/>
              </w:rPr>
            </w:pPr>
          </w:p>
        </w:tc>
        <w:tc>
          <w:tcPr>
            <w:tcW w:w="2212" w:type="dxa"/>
          </w:tcPr>
          <w:p>
            <w:pPr>
              <w:pStyle w:val="7"/>
              <w:rPr>
                <w:rFonts w:eastAsia="仿宋_GB2312"/>
                <w:sz w:val="21"/>
                <w:szCs w:val="21"/>
              </w:rPr>
            </w:pPr>
            <w:r>
              <w:rPr>
                <w:rFonts w:eastAsia="仿宋_GB2312"/>
                <w:sz w:val="21"/>
                <w:szCs w:val="21"/>
              </w:rPr>
              <w:t>艺术、体育类</w:t>
            </w:r>
          </w:p>
        </w:tc>
        <w:tc>
          <w:tcPr>
            <w:tcW w:w="2213" w:type="dxa"/>
            <w:vAlign w:val="center"/>
          </w:tcPr>
          <w:p>
            <w:pPr>
              <w:pStyle w:val="7"/>
              <w:jc w:val="center"/>
              <w:rPr>
                <w:rFonts w:eastAsia="仿宋_GB2312"/>
                <w:sz w:val="21"/>
                <w:szCs w:val="21"/>
              </w:rPr>
            </w:pPr>
            <w:r>
              <w:rPr>
                <w:rFonts w:eastAsia="仿宋_GB2312"/>
                <w:sz w:val="21"/>
                <w:szCs w:val="21"/>
              </w:rPr>
              <w:t>不低于82.5</w:t>
            </w:r>
          </w:p>
        </w:tc>
        <w:tc>
          <w:tcPr>
            <w:tcW w:w="2213" w:type="dxa"/>
            <w:vAlign w:val="center"/>
          </w:tcPr>
          <w:p>
            <w:pPr>
              <w:pStyle w:val="7"/>
              <w:jc w:val="center"/>
              <w:rPr>
                <w:rFonts w:eastAsia="仿宋_GB2312"/>
                <w:sz w:val="21"/>
                <w:szCs w:val="21"/>
              </w:rPr>
            </w:pPr>
            <w:r>
              <w:rPr>
                <w:rFonts w:eastAsia="仿宋_GB2312"/>
                <w:sz w:val="21"/>
                <w:szCs w:val="21"/>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088" w:type="dxa"/>
            <w:vMerge w:val="continue"/>
            <w:vAlign w:val="center"/>
          </w:tcPr>
          <w:p>
            <w:pPr>
              <w:pStyle w:val="7"/>
              <w:jc w:val="center"/>
              <w:rPr>
                <w:rFonts w:eastAsia="仿宋_GB2312"/>
                <w:sz w:val="21"/>
                <w:szCs w:val="21"/>
              </w:rPr>
            </w:pPr>
          </w:p>
        </w:tc>
        <w:tc>
          <w:tcPr>
            <w:tcW w:w="2212" w:type="dxa"/>
          </w:tcPr>
          <w:p>
            <w:pPr>
              <w:pStyle w:val="7"/>
              <w:rPr>
                <w:rFonts w:eastAsia="仿宋_GB2312"/>
                <w:sz w:val="21"/>
                <w:szCs w:val="21"/>
              </w:rPr>
            </w:pPr>
            <w:r>
              <w:rPr>
                <w:rFonts w:eastAsia="仿宋_GB2312"/>
                <w:sz w:val="21"/>
                <w:szCs w:val="21"/>
              </w:rPr>
              <w:t>理工类</w:t>
            </w:r>
          </w:p>
        </w:tc>
        <w:tc>
          <w:tcPr>
            <w:tcW w:w="2213" w:type="dxa"/>
            <w:vAlign w:val="center"/>
          </w:tcPr>
          <w:p>
            <w:pPr>
              <w:pStyle w:val="7"/>
              <w:jc w:val="center"/>
              <w:rPr>
                <w:rFonts w:eastAsia="仿宋_GB2312"/>
                <w:sz w:val="21"/>
                <w:szCs w:val="21"/>
              </w:rPr>
            </w:pPr>
            <w:r>
              <w:rPr>
                <w:rFonts w:eastAsia="仿宋_GB2312"/>
                <w:sz w:val="21"/>
                <w:szCs w:val="21"/>
              </w:rPr>
              <w:t>不低于82.5</w:t>
            </w:r>
          </w:p>
        </w:tc>
        <w:tc>
          <w:tcPr>
            <w:tcW w:w="2213" w:type="dxa"/>
            <w:vAlign w:val="center"/>
          </w:tcPr>
          <w:p>
            <w:pPr>
              <w:pStyle w:val="7"/>
              <w:jc w:val="center"/>
              <w:rPr>
                <w:rFonts w:eastAsia="仿宋_GB2312"/>
                <w:sz w:val="21"/>
                <w:szCs w:val="21"/>
              </w:rPr>
            </w:pPr>
            <w:r>
              <w:rPr>
                <w:rFonts w:eastAsia="仿宋_GB2312"/>
                <w:sz w:val="21"/>
                <w:szCs w:val="21"/>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88" w:type="dxa"/>
            <w:vAlign w:val="center"/>
          </w:tcPr>
          <w:p>
            <w:pPr>
              <w:pStyle w:val="7"/>
              <w:jc w:val="center"/>
              <w:rPr>
                <w:rFonts w:eastAsia="仿宋_GB2312"/>
                <w:sz w:val="21"/>
                <w:szCs w:val="21"/>
              </w:rPr>
            </w:pPr>
            <w:r>
              <w:rPr>
                <w:rFonts w:eastAsia="仿宋_GB2312"/>
                <w:sz w:val="21"/>
                <w:szCs w:val="21"/>
              </w:rPr>
              <w:t>学期/周学分安排</w:t>
            </w:r>
          </w:p>
        </w:tc>
        <w:tc>
          <w:tcPr>
            <w:tcW w:w="6638" w:type="dxa"/>
            <w:gridSpan w:val="3"/>
          </w:tcPr>
          <w:p>
            <w:pPr>
              <w:pStyle w:val="7"/>
              <w:rPr>
                <w:rFonts w:eastAsia="仿宋_GB2312"/>
                <w:sz w:val="21"/>
                <w:szCs w:val="21"/>
              </w:rPr>
            </w:pPr>
            <w:r>
              <w:rPr>
                <w:rFonts w:eastAsia="仿宋_GB2312"/>
                <w:sz w:val="21"/>
                <w:szCs w:val="21"/>
              </w:rPr>
              <w:t>原则上每学期所安排的课程总学分不得超过25学分，各学期的周学分数应做到合理安排，科学分布。</w:t>
            </w:r>
          </w:p>
        </w:tc>
      </w:tr>
    </w:tbl>
    <w:p>
      <w:pPr>
        <w:widowControl/>
        <w:shd w:val="clear" w:color="auto" w:fill="FFFFFF"/>
        <w:spacing w:before="100" w:beforeAutospacing="1" w:after="100" w:afterAutospacing="1" w:line="450" w:lineRule="atLeast"/>
        <w:ind w:firstLine="480"/>
        <w:jc w:val="center"/>
        <w:rPr>
          <w:rFonts w:ascii="宋体" w:hAnsi="宋体" w:eastAsia="宋体" w:cs="宋体"/>
          <w:kern w:val="0"/>
          <w:szCs w:val="21"/>
        </w:rPr>
      </w:pPr>
      <w:r>
        <w:rPr>
          <w:rFonts w:hint="eastAsia" w:ascii="宋体" w:hAnsi="宋体" w:eastAsia="宋体" w:cs="宋体"/>
          <w:b/>
          <w:bCs/>
          <w:kern w:val="0"/>
          <w:szCs w:val="21"/>
        </w:rPr>
        <w:t>表2　各类课程的学时与学分换算办法</w:t>
      </w:r>
    </w:p>
    <w:p>
      <w:pPr>
        <w:spacing w:line="100" w:lineRule="exact"/>
        <w:ind w:firstLine="480"/>
        <w:jc w:val="center"/>
        <w:rPr>
          <w:rFonts w:eastAsia="黑体"/>
          <w:szCs w:val="21"/>
        </w:rPr>
      </w:pPr>
    </w:p>
    <w:tbl>
      <w:tblPr>
        <w:tblStyle w:val="5"/>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4"/>
        <w:gridCol w:w="2520"/>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2" w:type="dxa"/>
            <w:gridSpan w:val="3"/>
            <w:vAlign w:val="center"/>
          </w:tcPr>
          <w:p>
            <w:pPr>
              <w:pStyle w:val="7"/>
              <w:spacing w:line="400" w:lineRule="exact"/>
              <w:jc w:val="center"/>
              <w:rPr>
                <w:rFonts w:eastAsia="仿宋_GB2312"/>
                <w:b/>
                <w:sz w:val="21"/>
                <w:szCs w:val="21"/>
              </w:rPr>
            </w:pPr>
            <w:r>
              <w:rPr>
                <w:rFonts w:eastAsia="仿宋_GB2312"/>
                <w:b/>
                <w:sz w:val="21"/>
                <w:szCs w:val="21"/>
              </w:rPr>
              <w:t>课程类型（课程性质）</w:t>
            </w:r>
          </w:p>
        </w:tc>
        <w:tc>
          <w:tcPr>
            <w:tcW w:w="3485" w:type="dxa"/>
            <w:vAlign w:val="center"/>
          </w:tcPr>
          <w:p>
            <w:pPr>
              <w:pStyle w:val="7"/>
              <w:spacing w:line="400" w:lineRule="exact"/>
              <w:jc w:val="center"/>
              <w:rPr>
                <w:rFonts w:eastAsia="仿宋_GB2312"/>
                <w:b/>
                <w:sz w:val="21"/>
                <w:szCs w:val="21"/>
              </w:rPr>
            </w:pPr>
            <w:r>
              <w:rPr>
                <w:rFonts w:eastAsia="仿宋_GB2312"/>
                <w:b/>
                <w:sz w:val="21"/>
                <w:szCs w:val="21"/>
              </w:rPr>
              <w:t>学分计算办法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Merge w:val="restart"/>
            <w:vAlign w:val="center"/>
          </w:tcPr>
          <w:p>
            <w:pPr>
              <w:pStyle w:val="7"/>
              <w:spacing w:line="400" w:lineRule="exact"/>
              <w:jc w:val="center"/>
              <w:rPr>
                <w:rFonts w:eastAsia="仿宋_GB2312"/>
                <w:sz w:val="21"/>
                <w:szCs w:val="21"/>
              </w:rPr>
            </w:pPr>
            <w:r>
              <w:rPr>
                <w:rFonts w:eastAsia="仿宋_GB2312"/>
                <w:sz w:val="21"/>
                <w:szCs w:val="21"/>
              </w:rPr>
              <w:t>理论课程</w:t>
            </w:r>
          </w:p>
        </w:tc>
        <w:tc>
          <w:tcPr>
            <w:tcW w:w="2520" w:type="dxa"/>
            <w:vAlign w:val="center"/>
          </w:tcPr>
          <w:p>
            <w:pPr>
              <w:pStyle w:val="7"/>
              <w:spacing w:line="400" w:lineRule="exact"/>
              <w:jc w:val="both"/>
              <w:rPr>
                <w:rFonts w:eastAsia="仿宋_GB2312"/>
                <w:sz w:val="21"/>
                <w:szCs w:val="21"/>
              </w:rPr>
            </w:pPr>
            <w:r>
              <w:rPr>
                <w:rFonts w:eastAsia="仿宋_GB2312"/>
                <w:sz w:val="21"/>
                <w:szCs w:val="21"/>
              </w:rPr>
              <w:t>通识素质教育课程</w:t>
            </w:r>
          </w:p>
        </w:tc>
        <w:tc>
          <w:tcPr>
            <w:tcW w:w="3485" w:type="dxa"/>
            <w:vAlign w:val="center"/>
          </w:tcPr>
          <w:p>
            <w:pPr>
              <w:pStyle w:val="7"/>
              <w:spacing w:line="400" w:lineRule="exact"/>
              <w:jc w:val="both"/>
              <w:rPr>
                <w:rFonts w:eastAsia="仿宋_GB2312"/>
                <w:sz w:val="21"/>
                <w:szCs w:val="21"/>
              </w:rPr>
            </w:pPr>
            <w:r>
              <w:rPr>
                <w:rFonts w:eastAsia="仿宋_GB2312"/>
                <w:sz w:val="21"/>
                <w:szCs w:val="21"/>
              </w:rPr>
              <w:t>由学校统一规定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02" w:type="dxa"/>
            <w:gridSpan w:val="2"/>
            <w:vMerge w:val="continue"/>
            <w:vAlign w:val="center"/>
          </w:tcPr>
          <w:p>
            <w:pPr>
              <w:pStyle w:val="7"/>
              <w:spacing w:line="400" w:lineRule="exact"/>
              <w:jc w:val="center"/>
              <w:rPr>
                <w:rFonts w:eastAsia="仿宋_GB2312"/>
                <w:sz w:val="21"/>
                <w:szCs w:val="21"/>
              </w:rPr>
            </w:pPr>
          </w:p>
        </w:tc>
        <w:tc>
          <w:tcPr>
            <w:tcW w:w="2520" w:type="dxa"/>
            <w:vAlign w:val="center"/>
          </w:tcPr>
          <w:p>
            <w:pPr>
              <w:pStyle w:val="7"/>
              <w:spacing w:line="400" w:lineRule="exact"/>
              <w:jc w:val="both"/>
              <w:rPr>
                <w:rFonts w:eastAsia="仿宋_GB2312"/>
                <w:sz w:val="21"/>
                <w:szCs w:val="21"/>
              </w:rPr>
            </w:pPr>
            <w:r>
              <w:rPr>
                <w:rFonts w:eastAsia="仿宋_GB2312"/>
                <w:sz w:val="21"/>
                <w:szCs w:val="21"/>
              </w:rPr>
              <w:t>其他课程</w:t>
            </w:r>
          </w:p>
        </w:tc>
        <w:tc>
          <w:tcPr>
            <w:tcW w:w="3485" w:type="dxa"/>
            <w:vAlign w:val="center"/>
          </w:tcPr>
          <w:p>
            <w:pPr>
              <w:pStyle w:val="7"/>
              <w:spacing w:line="400" w:lineRule="exact"/>
              <w:jc w:val="both"/>
              <w:rPr>
                <w:rFonts w:eastAsia="仿宋_GB2312"/>
                <w:sz w:val="21"/>
                <w:szCs w:val="21"/>
              </w:rPr>
            </w:pPr>
            <w:r>
              <w:rPr>
                <w:rFonts w:eastAsia="仿宋_GB2312"/>
                <w:sz w:val="21"/>
                <w:szCs w:val="21"/>
              </w:rPr>
              <w:t>原则上每17学时计1学分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Merge w:val="restart"/>
            <w:vAlign w:val="center"/>
          </w:tcPr>
          <w:p>
            <w:pPr>
              <w:pStyle w:val="7"/>
              <w:spacing w:line="400" w:lineRule="exact"/>
              <w:jc w:val="center"/>
              <w:rPr>
                <w:rFonts w:eastAsia="仿宋_GB2312"/>
                <w:sz w:val="21"/>
                <w:szCs w:val="21"/>
              </w:rPr>
            </w:pPr>
            <w:r>
              <w:rPr>
                <w:rFonts w:eastAsia="仿宋_GB2312"/>
                <w:sz w:val="21"/>
                <w:szCs w:val="21"/>
              </w:rPr>
              <w:t>实验（实训）课程</w:t>
            </w:r>
          </w:p>
        </w:tc>
        <w:tc>
          <w:tcPr>
            <w:tcW w:w="2520" w:type="dxa"/>
            <w:vAlign w:val="center"/>
          </w:tcPr>
          <w:p>
            <w:pPr>
              <w:pStyle w:val="7"/>
              <w:spacing w:line="400" w:lineRule="exact"/>
              <w:jc w:val="both"/>
              <w:rPr>
                <w:rFonts w:eastAsia="仿宋_GB2312"/>
                <w:sz w:val="21"/>
                <w:szCs w:val="21"/>
              </w:rPr>
            </w:pPr>
            <w:r>
              <w:rPr>
                <w:rFonts w:eastAsia="仿宋_GB2312"/>
                <w:sz w:val="21"/>
                <w:szCs w:val="21"/>
              </w:rPr>
              <w:t>独立设置（≥34学时）</w:t>
            </w:r>
          </w:p>
        </w:tc>
        <w:tc>
          <w:tcPr>
            <w:tcW w:w="3485" w:type="dxa"/>
            <w:vAlign w:val="center"/>
          </w:tcPr>
          <w:p>
            <w:pPr>
              <w:pStyle w:val="7"/>
              <w:spacing w:line="400" w:lineRule="exact"/>
              <w:jc w:val="both"/>
              <w:rPr>
                <w:rFonts w:eastAsia="仿宋_GB2312"/>
                <w:sz w:val="21"/>
                <w:szCs w:val="21"/>
              </w:rPr>
            </w:pPr>
            <w:r>
              <w:rPr>
                <w:rFonts w:eastAsia="仿宋_GB2312"/>
                <w:sz w:val="21"/>
                <w:szCs w:val="21"/>
              </w:rPr>
              <w:t>原则上每34学时计1学分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Merge w:val="continue"/>
            <w:vAlign w:val="center"/>
          </w:tcPr>
          <w:p>
            <w:pPr>
              <w:pStyle w:val="7"/>
              <w:spacing w:line="400" w:lineRule="exact"/>
              <w:jc w:val="center"/>
              <w:rPr>
                <w:rFonts w:eastAsia="仿宋_GB2312"/>
                <w:sz w:val="21"/>
                <w:szCs w:val="21"/>
              </w:rPr>
            </w:pPr>
          </w:p>
        </w:tc>
        <w:tc>
          <w:tcPr>
            <w:tcW w:w="2520" w:type="dxa"/>
            <w:vAlign w:val="center"/>
          </w:tcPr>
          <w:p>
            <w:pPr>
              <w:pStyle w:val="7"/>
              <w:spacing w:line="400" w:lineRule="exact"/>
              <w:jc w:val="both"/>
              <w:rPr>
                <w:rFonts w:eastAsia="仿宋_GB2312"/>
                <w:sz w:val="21"/>
                <w:szCs w:val="21"/>
              </w:rPr>
            </w:pPr>
            <w:r>
              <w:rPr>
                <w:rFonts w:eastAsia="仿宋_GB2312"/>
                <w:sz w:val="21"/>
                <w:szCs w:val="21"/>
              </w:rPr>
              <w:t>非独立设置（＜34学时）</w:t>
            </w:r>
          </w:p>
        </w:tc>
        <w:tc>
          <w:tcPr>
            <w:tcW w:w="3485" w:type="dxa"/>
            <w:vAlign w:val="center"/>
          </w:tcPr>
          <w:p>
            <w:pPr>
              <w:pStyle w:val="7"/>
              <w:spacing w:line="400" w:lineRule="exact"/>
              <w:jc w:val="both"/>
              <w:rPr>
                <w:rFonts w:eastAsia="仿宋_GB2312"/>
                <w:sz w:val="21"/>
                <w:szCs w:val="21"/>
              </w:rPr>
            </w:pPr>
            <w:r>
              <w:rPr>
                <w:rFonts w:eastAsia="仿宋_GB2312"/>
                <w:sz w:val="21"/>
                <w:szCs w:val="21"/>
              </w:rPr>
              <w:t>原则上计0.5学分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Merge w:val="restart"/>
            <w:vAlign w:val="center"/>
          </w:tcPr>
          <w:p>
            <w:pPr>
              <w:pStyle w:val="7"/>
              <w:spacing w:line="400" w:lineRule="exact"/>
              <w:jc w:val="center"/>
              <w:rPr>
                <w:rFonts w:eastAsia="仿宋_GB2312"/>
                <w:sz w:val="21"/>
                <w:szCs w:val="21"/>
              </w:rPr>
            </w:pPr>
            <w:r>
              <w:rPr>
                <w:rFonts w:eastAsia="仿宋_GB2312"/>
                <w:sz w:val="21"/>
                <w:szCs w:val="21"/>
              </w:rPr>
              <w:t>艺术类术科课</w:t>
            </w:r>
          </w:p>
        </w:tc>
        <w:tc>
          <w:tcPr>
            <w:tcW w:w="2520" w:type="dxa"/>
            <w:vAlign w:val="center"/>
          </w:tcPr>
          <w:p>
            <w:pPr>
              <w:pStyle w:val="7"/>
              <w:spacing w:line="400" w:lineRule="exact"/>
              <w:jc w:val="both"/>
              <w:rPr>
                <w:rFonts w:eastAsia="仿宋_GB2312"/>
                <w:sz w:val="21"/>
                <w:szCs w:val="21"/>
              </w:rPr>
            </w:pPr>
            <w:r>
              <w:rPr>
                <w:rFonts w:eastAsia="仿宋_GB2312"/>
                <w:sz w:val="21"/>
                <w:szCs w:val="21"/>
              </w:rPr>
              <w:t>独立设置（≥27学时）</w:t>
            </w:r>
          </w:p>
        </w:tc>
        <w:tc>
          <w:tcPr>
            <w:tcW w:w="3485" w:type="dxa"/>
            <w:vAlign w:val="center"/>
          </w:tcPr>
          <w:p>
            <w:pPr>
              <w:pStyle w:val="7"/>
              <w:spacing w:line="400" w:lineRule="exact"/>
              <w:jc w:val="both"/>
              <w:rPr>
                <w:rFonts w:eastAsia="仿宋_GB2312"/>
                <w:sz w:val="21"/>
                <w:szCs w:val="21"/>
              </w:rPr>
            </w:pPr>
            <w:r>
              <w:rPr>
                <w:rFonts w:eastAsia="仿宋_GB2312"/>
                <w:sz w:val="21"/>
                <w:szCs w:val="21"/>
              </w:rPr>
              <w:t>原则上每27学时计1学分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Merge w:val="continue"/>
            <w:vAlign w:val="center"/>
          </w:tcPr>
          <w:p>
            <w:pPr>
              <w:pStyle w:val="7"/>
              <w:spacing w:line="400" w:lineRule="exact"/>
              <w:jc w:val="center"/>
              <w:rPr>
                <w:rFonts w:eastAsia="仿宋_GB2312"/>
                <w:sz w:val="21"/>
                <w:szCs w:val="21"/>
              </w:rPr>
            </w:pPr>
          </w:p>
        </w:tc>
        <w:tc>
          <w:tcPr>
            <w:tcW w:w="2520" w:type="dxa"/>
            <w:vAlign w:val="center"/>
          </w:tcPr>
          <w:p>
            <w:pPr>
              <w:pStyle w:val="7"/>
              <w:spacing w:line="400" w:lineRule="exact"/>
              <w:jc w:val="both"/>
              <w:rPr>
                <w:rFonts w:eastAsia="仿宋_GB2312"/>
                <w:sz w:val="21"/>
                <w:szCs w:val="21"/>
              </w:rPr>
            </w:pPr>
            <w:r>
              <w:rPr>
                <w:rFonts w:eastAsia="仿宋_GB2312"/>
                <w:sz w:val="21"/>
                <w:szCs w:val="21"/>
              </w:rPr>
              <w:t>非独立设置（＜27学时）</w:t>
            </w:r>
          </w:p>
        </w:tc>
        <w:tc>
          <w:tcPr>
            <w:tcW w:w="3485" w:type="dxa"/>
            <w:vAlign w:val="center"/>
          </w:tcPr>
          <w:p>
            <w:pPr>
              <w:pStyle w:val="7"/>
              <w:spacing w:line="400" w:lineRule="exact"/>
              <w:jc w:val="both"/>
              <w:rPr>
                <w:rFonts w:eastAsia="仿宋_GB2312"/>
                <w:sz w:val="21"/>
                <w:szCs w:val="21"/>
              </w:rPr>
            </w:pPr>
            <w:r>
              <w:rPr>
                <w:rFonts w:eastAsia="仿宋_GB2312"/>
                <w:sz w:val="21"/>
                <w:szCs w:val="21"/>
              </w:rPr>
              <w:t>原则上计0.5学分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Align w:val="center"/>
          </w:tcPr>
          <w:p>
            <w:pPr>
              <w:pStyle w:val="7"/>
              <w:spacing w:line="400" w:lineRule="exact"/>
              <w:jc w:val="center"/>
              <w:rPr>
                <w:rFonts w:eastAsia="仿宋_GB2312"/>
                <w:sz w:val="21"/>
                <w:szCs w:val="21"/>
              </w:rPr>
            </w:pPr>
            <w:r>
              <w:rPr>
                <w:rFonts w:eastAsia="仿宋_GB2312"/>
                <w:sz w:val="21"/>
                <w:szCs w:val="21"/>
              </w:rPr>
              <w:t>集中实践课程</w:t>
            </w:r>
          </w:p>
        </w:tc>
        <w:tc>
          <w:tcPr>
            <w:tcW w:w="2520" w:type="dxa"/>
            <w:vAlign w:val="center"/>
          </w:tcPr>
          <w:p>
            <w:pPr>
              <w:pStyle w:val="7"/>
              <w:spacing w:line="400" w:lineRule="exact"/>
              <w:jc w:val="both"/>
              <w:rPr>
                <w:rFonts w:eastAsia="仿宋_GB2312"/>
                <w:sz w:val="21"/>
                <w:szCs w:val="21"/>
              </w:rPr>
            </w:pPr>
            <w:r>
              <w:rPr>
                <w:rFonts w:eastAsia="仿宋_GB2312"/>
                <w:sz w:val="21"/>
                <w:szCs w:val="21"/>
              </w:rPr>
              <w:t>——</w:t>
            </w:r>
          </w:p>
        </w:tc>
        <w:tc>
          <w:tcPr>
            <w:tcW w:w="3485" w:type="dxa"/>
            <w:vAlign w:val="center"/>
          </w:tcPr>
          <w:p>
            <w:pPr>
              <w:pStyle w:val="7"/>
              <w:spacing w:line="400" w:lineRule="exact"/>
              <w:jc w:val="both"/>
              <w:rPr>
                <w:rFonts w:eastAsia="仿宋_GB2312"/>
                <w:sz w:val="21"/>
                <w:szCs w:val="21"/>
              </w:rPr>
            </w:pPr>
            <w:r>
              <w:rPr>
                <w:rFonts w:eastAsia="仿宋_GB2312"/>
                <w:sz w:val="21"/>
                <w:szCs w:val="21"/>
              </w:rPr>
              <w:t>由学校统一规定学分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2" w:type="dxa"/>
            <w:gridSpan w:val="2"/>
            <w:vAlign w:val="center"/>
          </w:tcPr>
          <w:p>
            <w:pPr>
              <w:pStyle w:val="7"/>
              <w:spacing w:line="400" w:lineRule="exact"/>
              <w:jc w:val="center"/>
              <w:rPr>
                <w:rFonts w:eastAsia="仿宋_GB2312"/>
                <w:sz w:val="21"/>
                <w:szCs w:val="21"/>
              </w:rPr>
            </w:pPr>
            <w:r>
              <w:rPr>
                <w:rFonts w:eastAsia="仿宋_GB2312"/>
                <w:sz w:val="21"/>
                <w:szCs w:val="21"/>
              </w:rPr>
              <w:t>其他实践课程</w:t>
            </w:r>
          </w:p>
        </w:tc>
        <w:tc>
          <w:tcPr>
            <w:tcW w:w="2520" w:type="dxa"/>
            <w:vAlign w:val="center"/>
          </w:tcPr>
          <w:p>
            <w:pPr>
              <w:pStyle w:val="7"/>
              <w:spacing w:line="400" w:lineRule="exact"/>
              <w:jc w:val="both"/>
              <w:rPr>
                <w:rFonts w:eastAsia="仿宋_GB2312"/>
                <w:sz w:val="21"/>
                <w:szCs w:val="21"/>
              </w:rPr>
            </w:pPr>
            <w:r>
              <w:rPr>
                <w:rFonts w:eastAsia="仿宋_GB2312"/>
                <w:sz w:val="21"/>
                <w:szCs w:val="21"/>
              </w:rPr>
              <w:t>——</w:t>
            </w:r>
          </w:p>
        </w:tc>
        <w:tc>
          <w:tcPr>
            <w:tcW w:w="3485" w:type="dxa"/>
            <w:vAlign w:val="center"/>
          </w:tcPr>
          <w:p>
            <w:pPr>
              <w:pStyle w:val="7"/>
              <w:spacing w:line="400" w:lineRule="exact"/>
              <w:jc w:val="both"/>
              <w:rPr>
                <w:rFonts w:eastAsia="仿宋_GB2312"/>
                <w:sz w:val="21"/>
                <w:szCs w:val="21"/>
              </w:rPr>
            </w:pPr>
            <w:r>
              <w:rPr>
                <w:rFonts w:eastAsia="仿宋_GB2312"/>
                <w:sz w:val="21"/>
                <w:szCs w:val="21"/>
              </w:rPr>
              <w:t>折合成周数后，原则上</w:t>
            </w:r>
          </w:p>
          <w:p>
            <w:pPr>
              <w:pStyle w:val="7"/>
              <w:spacing w:line="400" w:lineRule="exact"/>
              <w:jc w:val="both"/>
              <w:rPr>
                <w:rFonts w:eastAsia="仿宋_GB2312"/>
                <w:sz w:val="21"/>
                <w:szCs w:val="21"/>
              </w:rPr>
            </w:pPr>
            <w:r>
              <w:rPr>
                <w:rFonts w:eastAsia="仿宋_GB2312"/>
                <w:sz w:val="21"/>
                <w:szCs w:val="21"/>
              </w:rPr>
              <w:t>每2周计1学分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8" w:type="dxa"/>
            <w:vAlign w:val="center"/>
          </w:tcPr>
          <w:p>
            <w:pPr>
              <w:pStyle w:val="7"/>
              <w:spacing w:line="400" w:lineRule="exact"/>
              <w:jc w:val="center"/>
              <w:rPr>
                <w:rFonts w:eastAsia="仿宋_GB2312"/>
                <w:sz w:val="21"/>
                <w:szCs w:val="21"/>
              </w:rPr>
            </w:pPr>
            <w:r>
              <w:rPr>
                <w:rFonts w:eastAsia="仿宋_GB2312"/>
                <w:sz w:val="21"/>
                <w:szCs w:val="21"/>
              </w:rPr>
              <w:t>说明</w:t>
            </w:r>
          </w:p>
        </w:tc>
        <w:tc>
          <w:tcPr>
            <w:tcW w:w="7819" w:type="dxa"/>
            <w:gridSpan w:val="3"/>
            <w:vAlign w:val="center"/>
          </w:tcPr>
          <w:p>
            <w:pPr>
              <w:pStyle w:val="7"/>
              <w:spacing w:line="400" w:lineRule="exact"/>
              <w:jc w:val="both"/>
              <w:rPr>
                <w:rFonts w:eastAsia="仿宋_GB2312"/>
                <w:sz w:val="21"/>
                <w:szCs w:val="21"/>
              </w:rPr>
            </w:pPr>
            <w:r>
              <w:rPr>
                <w:rFonts w:eastAsia="仿宋_GB2312"/>
                <w:sz w:val="21"/>
                <w:szCs w:val="21"/>
              </w:rPr>
              <w:t>（1）最小学分单位为0.5学分；（2）表内原则规定的学分计算方法可根据各个专业实际适当调整，但应以总学时不突破</w:t>
            </w:r>
            <w:r>
              <w:rPr>
                <w:rFonts w:eastAsia="仿宋_GB2312"/>
                <w:b/>
                <w:sz w:val="21"/>
                <w:szCs w:val="21"/>
              </w:rPr>
              <w:t>表1</w:t>
            </w:r>
            <w:r>
              <w:rPr>
                <w:rFonts w:eastAsia="仿宋_GB2312"/>
                <w:sz w:val="21"/>
                <w:szCs w:val="21"/>
              </w:rPr>
              <w:t>规定的课内最高总学时为宜。</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480"/>
        <w:jc w:val="both"/>
        <w:textAlignment w:val="auto"/>
        <w:outlineLvl w:val="9"/>
        <w:rPr>
          <w:rFonts w:hint="eastAsia" w:ascii="宋体" w:hAnsi="宋体" w:eastAsia="宋体" w:cs="宋体"/>
          <w:b/>
          <w:bCs/>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（二）课程结构与课程设置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级培养方案各平台与201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级保持一致。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师范类专业按照《广西师范大学教师教育课程设置方案（2016年）》（师政教学〔2016〕127号）的要求，开设教师教育课程，并达到相应的学分学时。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（三）选修课的修读要求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1.“通识素质教育平台”选修课要求各专业学生必须从《全校性通识素质教育选修课一览表》（在培养方案汇编合订本中予以公布）的“人文社科”、“自然科学”、“艺术体育”和“其他专项”四个系列中分别选修2学分。各学院（部）每学期至少开设3门以上面向全校学生的通识教育选修课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ascii="宋体" w:hAnsi="宋体" w:eastAsia="宋体" w:cs="宋体"/>
          <w:color w:val="auto"/>
          <w:kern w:val="0"/>
          <w:sz w:val="24"/>
          <w:szCs w:val="24"/>
        </w:rPr>
        <w:t>各专业要求学生修读的选修课学分要求应不低于总学分的30%，鼓励有条件的专业达到或超过总学分的35%。</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黑体" w:hAnsi="黑体" w:eastAsia="黑体" w:cs="黑体"/>
          <w:b/>
          <w:bCs/>
          <w:kern w:val="0"/>
          <w:sz w:val="24"/>
          <w:szCs w:val="24"/>
        </w:rPr>
      </w:pPr>
      <w:r>
        <w:rPr>
          <w:rFonts w:hint="eastAsia" w:ascii="黑体" w:hAnsi="黑体" w:eastAsia="黑体" w:cs="黑体"/>
          <w:b/>
          <w:bCs/>
          <w:kern w:val="0"/>
          <w:sz w:val="24"/>
          <w:szCs w:val="24"/>
        </w:rPr>
        <w:t>二、修订的主要任务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b/>
          <w:kern w:val="0"/>
          <w:sz w:val="24"/>
          <w:szCs w:val="24"/>
        </w:rPr>
      </w:pPr>
      <w:r>
        <w:rPr>
          <w:rFonts w:hint="eastAsia" w:ascii="宋体" w:hAnsi="宋体" w:eastAsia="宋体" w:cs="宋体"/>
          <w:b/>
          <w:kern w:val="0"/>
          <w:sz w:val="24"/>
          <w:szCs w:val="24"/>
        </w:rPr>
        <w:t>（一）培养目标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根据</w:t>
      </w:r>
      <w:r>
        <w:rPr>
          <w:rFonts w:hint="eastAsia" w:ascii="宋体" w:hAnsi="宋体" w:eastAsia="宋体" w:cs="宋体"/>
          <w:color w:val="auto"/>
          <w:kern w:val="0"/>
          <w:sz w:val="24"/>
          <w:szCs w:val="24"/>
        </w:rPr>
        <w:t>《</w:t>
      </w:r>
      <w:r>
        <w:rPr>
          <w:rFonts w:hint="eastAsia" w:ascii="宋体" w:hAnsi="宋体" w:eastAsia="宋体" w:cs="宋体"/>
          <w:kern w:val="0"/>
          <w:sz w:val="24"/>
          <w:szCs w:val="24"/>
          <w:lang w:val="en-US" w:eastAsia="zh-CN"/>
        </w:rPr>
        <w:t>普通高等学校本科专业类教学质量国家标准</w:t>
      </w:r>
      <w:r>
        <w:rPr>
          <w:rFonts w:hint="eastAsia" w:ascii="宋体" w:hAnsi="宋体" w:eastAsia="宋体" w:cs="宋体"/>
          <w:color w:val="auto"/>
          <w:kern w:val="0"/>
          <w:sz w:val="24"/>
          <w:szCs w:val="24"/>
        </w:rPr>
        <w:t>》的要求，各学院（部）各专业务必进一步梳理核心知识、核心能力、核心素养的内涵，使专业培养目标的表述规范、科学，</w:t>
      </w:r>
      <w:r>
        <w:rPr>
          <w:rFonts w:hint="eastAsia" w:ascii="宋体" w:hAnsi="宋体" w:eastAsia="宋体" w:cs="宋体"/>
          <w:color w:val="auto"/>
          <w:kern w:val="0"/>
          <w:sz w:val="24"/>
          <w:szCs w:val="24"/>
          <w:lang w:val="en-US" w:eastAsia="zh-CN"/>
        </w:rPr>
        <w:t>在知识要求、能力要求、素质要求、学制与学位上与国家标准和</w:t>
      </w:r>
      <w:r>
        <w:rPr>
          <w:rFonts w:hint="eastAsia" w:ascii="宋体" w:hAnsi="宋体" w:eastAsia="宋体" w:cs="宋体"/>
          <w:color w:val="auto"/>
          <w:kern w:val="0"/>
          <w:sz w:val="24"/>
          <w:szCs w:val="24"/>
        </w:rPr>
        <w:t>学校人才培养总目标保持一致。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b/>
          <w:kern w:val="0"/>
          <w:sz w:val="24"/>
          <w:szCs w:val="24"/>
        </w:rPr>
      </w:pPr>
      <w:r>
        <w:rPr>
          <w:rFonts w:hint="eastAsia" w:ascii="宋体" w:hAnsi="宋体" w:eastAsia="宋体" w:cs="宋体"/>
          <w:b/>
          <w:kern w:val="0"/>
          <w:sz w:val="24"/>
          <w:szCs w:val="24"/>
        </w:rPr>
        <w:t>（二）核心课程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201</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级人才培养方案务必进一步凝练核心课程</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优化课程体系</w:t>
      </w:r>
      <w:r>
        <w:rPr>
          <w:rFonts w:hint="eastAsia" w:ascii="宋体" w:hAnsi="宋体" w:eastAsia="宋体" w:cs="宋体"/>
          <w:b/>
          <w:bCs/>
          <w:color w:val="auto"/>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核心课程是指各个专业所有学生都必须掌握的共同学习内容，属于整个专业课程的核心，能对专业培养基本规格达成起到关键作用。学生修读该类课程后，应能达到该专业所要求的知识、能力和素质方面的核心能力水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三</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专业导读课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lang w:val="en-US" w:eastAsia="zh-CN"/>
        </w:rPr>
        <w:t>为配合大类培养的开展，加强对学生专业学习规划的引导，</w:t>
      </w:r>
      <w:r>
        <w:rPr>
          <w:rFonts w:hint="eastAsia" w:cs="宋体" w:asciiTheme="minorEastAsia" w:hAnsiTheme="minorEastAsia"/>
          <w:b/>
          <w:bCs/>
          <w:color w:val="auto"/>
          <w:kern w:val="0"/>
          <w:sz w:val="24"/>
          <w:szCs w:val="24"/>
          <w:lang w:val="en-US" w:eastAsia="zh-CN"/>
        </w:rPr>
        <w:t>每个专业必须在大类平台课程设置专业导读课（1学分）</w:t>
      </w:r>
      <w:r>
        <w:rPr>
          <w:rFonts w:hint="eastAsia" w:cs="宋体" w:asciiTheme="minorEastAsia" w:hAnsiTheme="minorEastAsia"/>
          <w:color w:val="auto"/>
          <w:kern w:val="0"/>
          <w:sz w:val="24"/>
          <w:szCs w:val="24"/>
          <w:lang w:val="en-US" w:eastAsia="zh-CN"/>
        </w:rPr>
        <w:t>，由各学院（部）安排专业负责人或资深教授授课。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黑体" w:hAnsi="黑体" w:eastAsia="黑体" w:cs="黑体"/>
          <w:b/>
          <w:bCs/>
          <w:kern w:val="0"/>
          <w:sz w:val="24"/>
          <w:szCs w:val="24"/>
        </w:rPr>
      </w:pPr>
      <w:r>
        <w:rPr>
          <w:rFonts w:hint="eastAsia" w:ascii="黑体" w:hAnsi="黑体" w:eastAsia="黑体" w:cs="黑体"/>
          <w:b/>
          <w:bCs/>
          <w:kern w:val="0"/>
          <w:sz w:val="24"/>
          <w:szCs w:val="24"/>
          <w:lang w:val="en-US" w:eastAsia="zh-CN"/>
        </w:rPr>
        <w:t>三</w:t>
      </w:r>
      <w:r>
        <w:rPr>
          <w:rFonts w:hint="eastAsia" w:ascii="黑体" w:hAnsi="黑体" w:eastAsia="黑体" w:cs="黑体"/>
          <w:b/>
          <w:bCs/>
          <w:kern w:val="0"/>
          <w:sz w:val="24"/>
          <w:szCs w:val="24"/>
        </w:rPr>
        <w:t>、修（制）订工作流程及要求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（一）5月</w:t>
      </w: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日-5月2</w:t>
      </w: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日，学院（部）启动、组织修（制）订方案初稿阶段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各学院是人才培养方案制（修）订的主体。各学院务必要认真组织学习，在充分开展调查研究和论证的基础上，成立由学院领导、专业负责人、专业骨干教师和教学秘书组成的“工作小组”，专门负责201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级人才培养方案的修（制）订工作，同时每个专业要落实1名具有正高（个别专业可以是副高）职称的专任教师为修（制）订人，负责根据本通知的要求开展各专业人才培养方案的具体修（制）订。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color w:val="auto"/>
          <w:kern w:val="0"/>
          <w:sz w:val="24"/>
          <w:szCs w:val="24"/>
        </w:rPr>
      </w:pPr>
      <w:r>
        <w:rPr>
          <w:rFonts w:hint="eastAsia" w:ascii="宋体" w:hAnsi="宋体" w:eastAsia="宋体" w:cs="宋体"/>
          <w:b/>
          <w:bCs/>
          <w:color w:val="auto"/>
          <w:kern w:val="0"/>
          <w:sz w:val="24"/>
          <w:szCs w:val="24"/>
        </w:rPr>
        <w:t>各学院务必按照课程平台在教务管理系统中录入人才培养方案课程后导出各专业人才培养方案课程设置计划总表。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（二）5月2</w:t>
      </w: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日-6月</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日，学院（部）工作小组对方案进行讨论、审议阶段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人才培养方案初稿修（制）订完成后</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学院工作小组要组织全体成员及修（制）订人进行讨论和审议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同时要求修（制）订人根据讨论、审议的意见，从文字表述、课时数、学分数等方面进行全面修改和核对，并由分管教学副院（部）长负责审定。</w:t>
      </w:r>
      <w:r>
        <w:rPr>
          <w:rFonts w:hint="eastAsia" w:ascii="宋体" w:hAnsi="宋体" w:eastAsia="宋体" w:cs="宋体"/>
          <w:color w:val="auto"/>
          <w:kern w:val="0"/>
          <w:sz w:val="24"/>
          <w:szCs w:val="24"/>
        </w:rPr>
        <w:t>其中属于本年度新制订的人才培养方案，须至少提交2名外校专家的书面评议意见。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请各学院（部）于</w:t>
      </w:r>
      <w:r>
        <w:rPr>
          <w:rFonts w:hint="eastAsia" w:ascii="宋体" w:hAnsi="宋体" w:eastAsia="宋体" w:cs="宋体"/>
          <w:b/>
          <w:bCs/>
          <w:kern w:val="0"/>
          <w:sz w:val="24"/>
          <w:szCs w:val="24"/>
        </w:rPr>
        <w:t>6月</w:t>
      </w: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日星期二下午下班前</w:t>
      </w:r>
      <w:r>
        <w:rPr>
          <w:rFonts w:hint="eastAsia" w:ascii="宋体" w:hAnsi="宋体" w:eastAsia="宋体" w:cs="宋体"/>
          <w:kern w:val="0"/>
          <w:sz w:val="24"/>
          <w:szCs w:val="24"/>
        </w:rPr>
        <w:t>将</w:t>
      </w:r>
      <w:r>
        <w:rPr>
          <w:rFonts w:hint="eastAsia" w:ascii="宋体" w:hAnsi="宋体" w:eastAsia="宋体" w:cs="宋体"/>
          <w:kern w:val="0"/>
          <w:sz w:val="24"/>
          <w:szCs w:val="24"/>
          <w:lang w:val="en-US" w:eastAsia="zh-CN"/>
        </w:rPr>
        <w:t>由</w:t>
      </w:r>
      <w:r>
        <w:rPr>
          <w:rFonts w:hint="eastAsia" w:ascii="宋体" w:hAnsi="宋体" w:eastAsia="宋体" w:cs="宋体"/>
          <w:kern w:val="0"/>
          <w:sz w:val="24"/>
          <w:szCs w:val="24"/>
        </w:rPr>
        <w:t>修（制）订人、审核人（学院分管教学副院长）签名并加盖学院公章的人才培养方案打印稿1份，以及外校专家书面评议意见表2份，报送我处高教研究室。同时将人才培养方案的电子版发</w:t>
      </w:r>
      <w:r>
        <w:rPr>
          <w:rFonts w:hint="eastAsia" w:ascii="宋体" w:hAnsi="宋体" w:eastAsia="宋体" w:cs="宋体"/>
          <w:color w:val="auto"/>
          <w:kern w:val="0"/>
          <w:sz w:val="24"/>
          <w:szCs w:val="24"/>
        </w:rPr>
        <w:t>送至</w:t>
      </w:r>
      <w:r>
        <w:rPr>
          <w:color w:val="auto"/>
          <w:sz w:val="24"/>
          <w:szCs w:val="24"/>
        </w:rPr>
        <w:fldChar w:fldCharType="begin"/>
      </w:r>
      <w:r>
        <w:rPr>
          <w:color w:val="auto"/>
          <w:sz w:val="24"/>
          <w:szCs w:val="24"/>
        </w:rPr>
        <w:instrText xml:space="preserve"> HYPERLINK "mailto:sdgjs@gxnu.edu.cn" </w:instrText>
      </w:r>
      <w:r>
        <w:rPr>
          <w:color w:val="auto"/>
          <w:sz w:val="24"/>
          <w:szCs w:val="24"/>
        </w:rPr>
        <w:fldChar w:fldCharType="separate"/>
      </w:r>
      <w:r>
        <w:rPr>
          <w:rStyle w:val="4"/>
          <w:rFonts w:ascii="Tahoma" w:hAnsi="Tahoma" w:eastAsia="宋体" w:cs="Tahoma"/>
          <w:color w:val="auto"/>
          <w:kern w:val="0"/>
          <w:sz w:val="24"/>
          <w:szCs w:val="24"/>
        </w:rPr>
        <w:t>sdgjs@gxnu.edu.cn</w:t>
      </w:r>
      <w:r>
        <w:rPr>
          <w:rStyle w:val="4"/>
          <w:rFonts w:ascii="Tahoma" w:hAnsi="Tahoma" w:eastAsia="宋体" w:cs="Tahoma"/>
          <w:color w:val="auto"/>
          <w:kern w:val="0"/>
          <w:sz w:val="24"/>
          <w:szCs w:val="24"/>
        </w:rPr>
        <w:fldChar w:fldCharType="end"/>
      </w:r>
      <w:r>
        <w:rPr>
          <w:rFonts w:hint="eastAsia" w:ascii="宋体" w:hAnsi="宋体" w:eastAsia="宋体" w:cs="宋体"/>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（三）6月</w:t>
      </w: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日-6月2</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日，人才培养方案听审和审议阶段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b/>
          <w:bCs/>
          <w:kern w:val="0"/>
          <w:sz w:val="24"/>
          <w:szCs w:val="24"/>
        </w:rPr>
      </w:pPr>
      <w:r>
        <w:rPr>
          <w:rFonts w:hint="eastAsia" w:ascii="宋体" w:hAnsi="宋体" w:eastAsia="宋体" w:cs="宋体"/>
          <w:b/>
          <w:bCs/>
          <w:kern w:val="0"/>
          <w:sz w:val="24"/>
          <w:szCs w:val="24"/>
        </w:rPr>
        <w:t>1．学校召开人才培养方案听审会，各学院院（部）长必须参加，并在会上就本学院（部）各专业人才培养目标、标准及确定依据，人才培养方案的逻辑结构进行说明。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2．我处对各学院报送的培养方案进行汇总后，学校召开专门的人才培养方案修订工作会议，学校教指委全体委员对各专业人才培养方案进行审议，如有需要修改的地方返还各学院进行修改。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b/>
          <w:bCs/>
          <w:kern w:val="0"/>
          <w:sz w:val="24"/>
          <w:szCs w:val="24"/>
        </w:rPr>
      </w:pPr>
      <w:r>
        <w:rPr>
          <w:rFonts w:hint="eastAsia" w:ascii="宋体" w:hAnsi="宋体" w:eastAsia="宋体" w:cs="宋体"/>
          <w:b/>
          <w:bCs/>
          <w:kern w:val="0"/>
          <w:sz w:val="24"/>
          <w:szCs w:val="24"/>
        </w:rPr>
        <w:t>（四）6月</w:t>
      </w:r>
      <w:r>
        <w:rPr>
          <w:rFonts w:hint="eastAsia" w:ascii="宋体" w:hAnsi="宋体" w:eastAsia="宋体" w:cs="宋体"/>
          <w:b/>
          <w:bCs/>
          <w:kern w:val="0"/>
          <w:sz w:val="24"/>
          <w:szCs w:val="24"/>
          <w:lang w:val="en-US" w:eastAsia="zh-CN"/>
        </w:rPr>
        <w:t>29</w:t>
      </w:r>
      <w:r>
        <w:rPr>
          <w:rFonts w:hint="eastAsia" w:ascii="宋体" w:hAnsi="宋体" w:eastAsia="宋体" w:cs="宋体"/>
          <w:b/>
          <w:bCs/>
          <w:kern w:val="0"/>
          <w:sz w:val="24"/>
          <w:szCs w:val="24"/>
        </w:rPr>
        <w:t>日前，上交修改完善后的培养方案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（五）7月</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日-7月20日</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培养方案终审、</w:t>
      </w:r>
      <w:r>
        <w:rPr>
          <w:rFonts w:hint="eastAsia" w:ascii="宋体" w:hAnsi="宋体" w:eastAsia="宋体" w:cs="宋体"/>
          <w:b/>
          <w:bCs/>
          <w:kern w:val="0"/>
          <w:sz w:val="24"/>
          <w:szCs w:val="24"/>
          <w:lang w:val="en-US" w:eastAsia="zh-CN"/>
        </w:rPr>
        <w:t>编辑</w:t>
      </w:r>
      <w:r>
        <w:rPr>
          <w:rFonts w:hint="eastAsia" w:ascii="宋体" w:hAnsi="宋体" w:eastAsia="宋体" w:cs="宋体"/>
          <w:b/>
          <w:bCs/>
          <w:kern w:val="0"/>
          <w:sz w:val="24"/>
          <w:szCs w:val="24"/>
        </w:rPr>
        <w:t>付印阶段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经主管教学副校长同意后，由我处统一组织编印。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atLeast"/>
        <w:ind w:left="0" w:leftChars="0" w:right="0" w:rightChars="0" w:firstLine="480" w:firstLineChars="0"/>
        <w:jc w:val="both"/>
        <w:textAlignment w:val="auto"/>
        <w:outlineLvl w:val="9"/>
        <w:rPr>
          <w:rFonts w:hint="eastAsia" w:ascii="黑体" w:hAnsi="黑体" w:eastAsia="黑体" w:cs="黑体"/>
          <w:b/>
          <w:bCs/>
          <w:kern w:val="0"/>
          <w:sz w:val="24"/>
          <w:szCs w:val="24"/>
        </w:rPr>
      </w:pPr>
      <w:r>
        <w:rPr>
          <w:rFonts w:hint="eastAsia" w:ascii="黑体" w:hAnsi="黑体" w:eastAsia="黑体" w:cs="黑体"/>
          <w:b/>
          <w:bCs/>
          <w:kern w:val="0"/>
          <w:sz w:val="24"/>
          <w:szCs w:val="24"/>
          <w:lang w:val="en-US" w:eastAsia="zh-CN"/>
        </w:rPr>
        <w:t>四</w:t>
      </w:r>
      <w:r>
        <w:rPr>
          <w:rFonts w:hint="eastAsia" w:ascii="黑体" w:hAnsi="黑体" w:eastAsia="黑体" w:cs="黑体"/>
          <w:b/>
          <w:bCs/>
          <w:kern w:val="0"/>
          <w:sz w:val="24"/>
          <w:szCs w:val="24"/>
        </w:rPr>
        <w:t>、其它要求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kern w:val="0"/>
          <w:sz w:val="24"/>
          <w:szCs w:val="24"/>
          <w:lang w:val="en-US" w:eastAsia="zh-CN"/>
        </w:rPr>
        <w:t>人才培养方案是人才培养的总体设计和实施方案，是落实各专业人才培养目标定位的根本性教学文件，是学校进行教学组织、运行、管理、监控和评价的基本标准，是师生完成教学工作各环节的主要依据。</w:t>
      </w:r>
      <w:r>
        <w:rPr>
          <w:rFonts w:hint="eastAsia" w:ascii="宋体" w:hAnsi="宋体" w:eastAsia="宋体" w:cs="宋体"/>
          <w:kern w:val="0"/>
          <w:sz w:val="24"/>
          <w:szCs w:val="24"/>
        </w:rPr>
        <w:t>人才培养方案</w:t>
      </w:r>
      <w:r>
        <w:rPr>
          <w:rFonts w:hint="eastAsia" w:ascii="宋体" w:hAnsi="宋体" w:eastAsia="宋体" w:cs="宋体"/>
          <w:kern w:val="0"/>
          <w:sz w:val="24"/>
          <w:szCs w:val="24"/>
          <w:lang w:val="en-US" w:eastAsia="zh-CN"/>
        </w:rPr>
        <w:t>作为</w:t>
      </w:r>
      <w:r>
        <w:rPr>
          <w:rFonts w:hint="eastAsia" w:ascii="宋体" w:hAnsi="宋体" w:eastAsia="宋体" w:cs="宋体"/>
          <w:kern w:val="0"/>
          <w:sz w:val="24"/>
          <w:szCs w:val="24"/>
        </w:rPr>
        <w:t>高校人才培养目标和规格的具体化、实践化形式，集中体现了高校的育人思想和办学理念，直接关系到专业特色及本科人才培养的质量。</w:t>
      </w:r>
      <w:r>
        <w:rPr>
          <w:rFonts w:hint="eastAsia" w:ascii="宋体" w:hAnsi="宋体" w:eastAsia="宋体" w:cs="宋体"/>
          <w:kern w:val="0"/>
          <w:sz w:val="24"/>
          <w:szCs w:val="24"/>
          <w:lang w:val="en-US" w:eastAsia="zh-CN"/>
        </w:rPr>
        <w:t>为确保人才培养方案的权威性，各专业人才培养方案制（修）订完成后，</w:t>
      </w:r>
      <w:r>
        <w:rPr>
          <w:rFonts w:hint="eastAsia" w:ascii="宋体" w:hAnsi="宋体" w:eastAsia="宋体" w:cs="宋体"/>
          <w:b/>
          <w:bCs/>
          <w:kern w:val="0"/>
          <w:sz w:val="24"/>
          <w:szCs w:val="24"/>
          <w:lang w:val="en-US" w:eastAsia="zh-CN"/>
        </w:rPr>
        <w:t xml:space="preserve">要严格遵照执行，不得随意调整。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b/>
          <w:bCs/>
          <w:kern w:val="0"/>
          <w:sz w:val="24"/>
          <w:szCs w:val="24"/>
        </w:rPr>
        <w:t>本年度的人才培养方案听审和审核会议将重点审查专业培养目标、标准和确定依据。各专业要认真考虑和梳理本专业的培养目标、标准及确定依据，并在人才培养方案听审会上</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由专业负责人以PPT形式</w:t>
      </w:r>
      <w:r>
        <w:rPr>
          <w:rFonts w:hint="eastAsia" w:ascii="宋体" w:hAnsi="宋体" w:eastAsia="宋体" w:cs="宋体"/>
          <w:b/>
          <w:bCs/>
          <w:kern w:val="0"/>
          <w:sz w:val="24"/>
          <w:szCs w:val="24"/>
        </w:rPr>
        <w:t>加以汇报和说明。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（二）其他未尽事宜，请与我处高教室联系，联系电话：584</w:t>
      </w:r>
      <w:r>
        <w:rPr>
          <w:rFonts w:hint="eastAsia" w:ascii="宋体" w:hAnsi="宋体" w:eastAsia="宋体" w:cs="宋体"/>
          <w:kern w:val="0"/>
          <w:sz w:val="24"/>
          <w:szCs w:val="24"/>
          <w:u w:val="single"/>
        </w:rPr>
        <w:t>6480</w:t>
      </w:r>
      <w:r>
        <w:rPr>
          <w:rFonts w:hint="eastAsia" w:ascii="宋体" w:hAnsi="宋体" w:eastAsia="宋体" w:cs="宋体"/>
          <w:kern w:val="0"/>
          <w:sz w:val="24"/>
          <w:szCs w:val="24"/>
        </w:rPr>
        <w:t>（内线）。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广西师范大学201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级×××专业（×××方向）人才培养方案参考格式（含附表）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广西师范大学201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级全日制普通本科专业通识教育必修课一览表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广西师范大学201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级全日制普通本科专业创新创业实践课程一览表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广西师范大学201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级教师教育必修课一览表（师范专业开设）</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广西师范大学201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级全日制普通本科专业高等数学类、大学物理类、大学化学类开课一览表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级新增招生专业人才培养方案外校专家审议表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广西师范大学教务处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80"/>
        <w:jc w:val="both"/>
        <w:textAlignment w:val="auto"/>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年5月</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日</w:t>
      </w:r>
    </w:p>
    <w:p>
      <w:pPr>
        <w:keepNext w:val="0"/>
        <w:keepLines w:val="0"/>
        <w:pageBreakBefore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94"/>
    <w:rsid w:val="0008244E"/>
    <w:rsid w:val="003D2EA8"/>
    <w:rsid w:val="003E07A1"/>
    <w:rsid w:val="003F4EA4"/>
    <w:rsid w:val="00661BAE"/>
    <w:rsid w:val="007A27D6"/>
    <w:rsid w:val="007A4187"/>
    <w:rsid w:val="007C03EE"/>
    <w:rsid w:val="00872888"/>
    <w:rsid w:val="008C0CF8"/>
    <w:rsid w:val="00903B94"/>
    <w:rsid w:val="009E3E14"/>
    <w:rsid w:val="00A310BE"/>
    <w:rsid w:val="00A47D7B"/>
    <w:rsid w:val="00AC0B6F"/>
    <w:rsid w:val="00BC311C"/>
    <w:rsid w:val="00D226FA"/>
    <w:rsid w:val="00DE3C13"/>
    <w:rsid w:val="00EF5799"/>
    <w:rsid w:val="00F73F51"/>
    <w:rsid w:val="00FA5B18"/>
    <w:rsid w:val="00FE7AD6"/>
    <w:rsid w:val="041448BD"/>
    <w:rsid w:val="09E453D7"/>
    <w:rsid w:val="0B1E5932"/>
    <w:rsid w:val="3EA366AA"/>
    <w:rsid w:val="41522579"/>
    <w:rsid w:val="468C372A"/>
    <w:rsid w:val="6AB74BED"/>
    <w:rsid w:val="723615A2"/>
    <w:rsid w:val="72AD1C59"/>
    <w:rsid w:val="74CC30A1"/>
    <w:rsid w:val="79A52238"/>
    <w:rsid w:val="7A785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引用 Char"/>
    <w:link w:val="7"/>
    <w:uiPriority w:val="0"/>
    <w:rPr>
      <w:rFonts w:eastAsia="仿宋"/>
      <w:iCs/>
      <w:color w:val="000000"/>
      <w:sz w:val="24"/>
      <w:szCs w:val="24"/>
    </w:rPr>
  </w:style>
  <w:style w:type="paragraph" w:customStyle="1" w:styleId="7">
    <w:name w:val="Quote"/>
    <w:basedOn w:val="1"/>
    <w:next w:val="1"/>
    <w:link w:val="6"/>
    <w:qFormat/>
    <w:uiPriority w:val="0"/>
    <w:pPr>
      <w:spacing w:line="480" w:lineRule="exact"/>
      <w:jc w:val="left"/>
    </w:pPr>
    <w:rPr>
      <w:rFonts w:eastAsia="仿宋"/>
      <w:iCs/>
      <w:color w:val="000000"/>
      <w:sz w:val="24"/>
      <w:szCs w:val="24"/>
    </w:rPr>
  </w:style>
  <w:style w:type="character" w:customStyle="1" w:styleId="8">
    <w:name w:val="引用 Char1"/>
    <w:basedOn w:val="3"/>
    <w:qFormat/>
    <w:uiPriority w:val="29"/>
    <w:rPr>
      <w:i/>
      <w:iCs/>
      <w:color w:val="404040" w:themeColor="text1" w:themeTint="BF"/>
      <w14:textFill>
        <w14:solidFill>
          <w14:schemeClr w14:val="tx1">
            <w14:lumMod w14:val="75000"/>
            <w14:lumOff w14:val="25000"/>
          </w14:schemeClr>
        </w14:solidFill>
      </w14:textFill>
    </w:rPr>
  </w:style>
  <w:style w:type="paragraph" w:customStyle="1" w:styleId="9">
    <w:name w:val="List Paragraph"/>
    <w:basedOn w:val="1"/>
    <w:qFormat/>
    <w:uiPriority w:val="34"/>
    <w:pPr>
      <w:ind w:firstLine="420" w:firstLineChars="200"/>
    </w:pPr>
  </w:style>
  <w:style w:type="character" w:customStyle="1" w:styleId="10">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EC4D5-9F47-41A8-89C6-2B84068B795A}">
  <ds:schemaRefs/>
</ds:datastoreItem>
</file>

<file path=docProps/app.xml><?xml version="1.0" encoding="utf-8"?>
<Properties xmlns="http://schemas.openxmlformats.org/officeDocument/2006/extended-properties" xmlns:vt="http://schemas.openxmlformats.org/officeDocument/2006/docPropsVTypes">
  <Template>Normal</Template>
  <Pages>5</Pages>
  <Words>428</Words>
  <Characters>2445</Characters>
  <Lines>20</Lines>
  <Paragraphs>5</Paragraphs>
  <ScaleCrop>false</ScaleCrop>
  <LinksUpToDate>false</LinksUpToDate>
  <CharactersWithSpaces>2868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2017-04-27T08:07:00Z</dcterms:created>
  <dc:creator>lff</dc:creator>
  <cp:lastModifiedBy>Administrator</cp:lastModifiedBy>
  <cp:lastPrinted>2018-05-09T09:32:00Z</cp:lastPrinted>
  <dcterms:modified xsi:type="dcterms:W3CDTF">2018-05-10T01:25:17Z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