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</w:t>
      </w: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202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36"/>
        </w:rPr>
        <w:t>年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春季学期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</w:rPr>
        <w:t>通识教育讲座各学院讲座任务分解表</w:t>
      </w:r>
    </w:p>
    <w:p>
      <w:pPr>
        <w:jc w:val="center"/>
        <w:rPr>
          <w:rFonts w:ascii="黑体" w:hAnsi="黑体" w:eastAsia="黑体" w:cs="黑体"/>
          <w:szCs w:val="36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1752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至少承担场次</w:t>
            </w:r>
          </w:p>
        </w:tc>
        <w:tc>
          <w:tcPr>
            <w:tcW w:w="245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备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文学院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restart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</w:t>
            </w:r>
            <w:r>
              <w:rPr>
                <w:rFonts w:cs="宋体" w:asciiTheme="minorEastAsia" w:hAnsiTheme="minorEastAsia"/>
                <w:sz w:val="24"/>
              </w:rPr>
              <w:t>.各学院申报讲座数可视实际需要多报，但不应少于最低场</w:t>
            </w:r>
            <w:r>
              <w:rPr>
                <w:rFonts w:hint="eastAsia" w:cs="宋体" w:asciiTheme="minorEastAsia" w:hAnsiTheme="minorEastAsia"/>
                <w:sz w:val="24"/>
              </w:rPr>
              <w:t>次</w:t>
            </w:r>
            <w:r>
              <w:rPr>
                <w:rFonts w:cs="宋体" w:asciiTheme="minorEastAsia" w:hAnsiTheme="minorEastAsia"/>
                <w:sz w:val="24"/>
              </w:rPr>
              <w:t>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2.专题系列讲座可以根据实际需要增加申报场次。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历史文化与旅游学院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马克思主义学院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法学院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政治与公共管理学院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经济管理学院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教育学部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外国语学院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体育与健康学院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美术学院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音乐学院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数学与统计学院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物理科学与技术学院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化学与药学学院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生命科学学院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环境与资源学院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计算机科学与信息工程学院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电子工程学院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职业技术师范学院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设计学院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57" w:type="dxa"/>
            <w:vMerge w:val="continue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国际文化教育学院</w:t>
            </w:r>
          </w:p>
        </w:tc>
        <w:tc>
          <w:tcPr>
            <w:tcW w:w="1752" w:type="dxa"/>
            <w:vAlign w:val="top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2457" w:type="dxa"/>
            <w:vMerge w:val="continue"/>
            <w:tcBorders>
              <w:bottom w:val="single" w:color="FFFFFF" w:themeColor="background1" w:sz="4" w:space="0"/>
            </w:tcBorders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创新创业学院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457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9" w:type="dxa"/>
            <w:vAlign w:val="bottom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</w:rPr>
              <w:t>合计</w:t>
            </w:r>
          </w:p>
        </w:tc>
        <w:tc>
          <w:tcPr>
            <w:tcW w:w="1752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lang w:val="en-US" w:eastAsia="zh-CN"/>
              </w:rPr>
              <w:t>80</w:t>
            </w:r>
          </w:p>
        </w:tc>
        <w:tc>
          <w:tcPr>
            <w:tcW w:w="2457" w:type="dxa"/>
            <w:tcBorders>
              <w:top w:val="single" w:color="FFFFFF" w:themeColor="background1" w:sz="4" w:space="0"/>
            </w:tcBorders>
          </w:tcPr>
          <w:p>
            <w:pPr>
              <w:spacing w:line="360" w:lineRule="auto"/>
              <w:rPr>
                <w:rFonts w:cs="宋体" w:asciiTheme="minorEastAsia" w:hAnsiTheme="minorEastAsia"/>
                <w:color w:val="auto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64E"/>
    <w:rsid w:val="006C709A"/>
    <w:rsid w:val="00C23258"/>
    <w:rsid w:val="06FA0D81"/>
    <w:rsid w:val="09E87C52"/>
    <w:rsid w:val="31A341BA"/>
    <w:rsid w:val="402F1625"/>
    <w:rsid w:val="5197064E"/>
    <w:rsid w:val="619343E5"/>
    <w:rsid w:val="71D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item-name"/>
    <w:basedOn w:val="4"/>
    <w:qFormat/>
    <w:uiPriority w:val="0"/>
  </w:style>
  <w:style w:type="character" w:customStyle="1" w:styleId="8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2020-09-05T01:47:00Z</dcterms:created>
  <dc:creator>X.FreyA</dc:creator>
  <cp:lastModifiedBy>小悠</cp:lastModifiedBy>
  <dcterms:modified xsi:type="dcterms:W3CDTF">2021-03-04T08:43:05Z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