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12</w:t>
      </w:r>
      <w:r>
        <w:rPr>
          <w:rFonts w:hint="eastAsia"/>
          <w:color w:val="auto"/>
          <w:sz w:val="24"/>
          <w:szCs w:val="24"/>
        </w:rPr>
        <w:t>号</w:t>
      </w:r>
    </w:p>
    <w:p>
      <w:pPr>
        <w:jc w:val="center"/>
        <w:rPr>
          <w:rFonts w:hint="eastAsia"/>
          <w:color w:val="auto"/>
          <w:sz w:val="24"/>
          <w:szCs w:val="24"/>
        </w:rPr>
      </w:pPr>
    </w:p>
    <w:p>
      <w:pPr>
        <w:widowControl/>
        <w:shd w:val="clear" w:color="auto" w:fill="FFFFFF"/>
        <w:jc w:val="center"/>
        <w:textAlignment w:val="baseline"/>
        <w:rPr>
          <w:rFonts w:ascii="Arial" w:hAnsi="Arial" w:eastAsia="宋体" w:cs="Arial"/>
          <w:b/>
          <w:bCs/>
          <w:kern w:val="0"/>
          <w:sz w:val="28"/>
          <w:szCs w:val="28"/>
        </w:rPr>
      </w:pPr>
      <w:r>
        <w:rPr>
          <w:rFonts w:ascii="Arial" w:hAnsi="Arial" w:eastAsia="宋体" w:cs="Arial"/>
          <w:b/>
          <w:bCs/>
          <w:kern w:val="0"/>
          <w:sz w:val="28"/>
          <w:szCs w:val="28"/>
        </w:rPr>
        <w:t>关于</w:t>
      </w:r>
      <w:r>
        <w:rPr>
          <w:rFonts w:hint="eastAsia" w:ascii="Arial" w:hAnsi="Arial" w:eastAsia="宋体" w:cs="Arial"/>
          <w:b/>
          <w:bCs/>
          <w:kern w:val="0"/>
          <w:sz w:val="28"/>
          <w:szCs w:val="28"/>
          <w:lang w:val="en-US" w:eastAsia="zh-CN"/>
        </w:rPr>
        <w:t>组织参加</w:t>
      </w:r>
      <w:r>
        <w:rPr>
          <w:rFonts w:ascii="Arial" w:hAnsi="Arial" w:eastAsia="宋体" w:cs="Arial"/>
          <w:b/>
          <w:bCs/>
          <w:kern w:val="0"/>
          <w:sz w:val="28"/>
          <w:szCs w:val="28"/>
        </w:rPr>
        <w:t>广西普通本科高校教师在线课程建设</w:t>
      </w:r>
    </w:p>
    <w:p>
      <w:pPr>
        <w:widowControl/>
        <w:shd w:val="clear" w:color="auto" w:fill="FFFFFF"/>
        <w:jc w:val="center"/>
        <w:textAlignment w:val="baseline"/>
        <w:rPr>
          <w:rFonts w:ascii="Arial" w:hAnsi="Arial" w:eastAsia="宋体" w:cs="Arial"/>
          <w:b/>
          <w:bCs/>
          <w:kern w:val="0"/>
          <w:sz w:val="28"/>
          <w:szCs w:val="28"/>
        </w:rPr>
      </w:pPr>
      <w:r>
        <w:rPr>
          <w:rFonts w:ascii="Arial" w:hAnsi="Arial" w:eastAsia="宋体" w:cs="Arial"/>
          <w:b/>
          <w:bCs/>
          <w:kern w:val="0"/>
          <w:sz w:val="28"/>
          <w:szCs w:val="28"/>
        </w:rPr>
        <w:t>与应用能力提升行动（二期）的通知</w:t>
      </w:r>
    </w:p>
    <w:p>
      <w:pPr>
        <w:widowControl/>
        <w:shd w:val="clear" w:color="auto" w:fill="FFFFFF"/>
        <w:jc w:val="center"/>
        <w:textAlignment w:val="baseline"/>
        <w:rPr>
          <w:rFonts w:ascii="Arial" w:hAnsi="Arial" w:eastAsia="宋体" w:cs="Arial"/>
          <w:kern w:val="0"/>
          <w:sz w:val="28"/>
          <w:szCs w:val="28"/>
        </w:rPr>
      </w:pPr>
    </w:p>
    <w:p>
      <w:pPr>
        <w:widowControl/>
        <w:shd w:val="clear" w:color="auto" w:fill="FFFFFF"/>
        <w:spacing w:line="360"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各学院（部）：</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为贯彻落实全国、全区高校本科教育工作会议精神和《广西高等教育振兴发展“十四五”规划》《广西教育提质振兴三年行动计划（2021—2023年）》等文件要求，巩固和扩大</w:t>
      </w:r>
      <w:r>
        <w:rPr>
          <w:rFonts w:hint="eastAsia" w:ascii="宋体" w:hAnsi="宋体" w:eastAsia="宋体" w:cs="宋体"/>
          <w:kern w:val="0"/>
          <w:sz w:val="24"/>
          <w:szCs w:val="24"/>
          <w:lang w:val="en-US" w:eastAsia="zh-CN"/>
        </w:rPr>
        <w:t>我校</w:t>
      </w:r>
      <w:r>
        <w:rPr>
          <w:rFonts w:hint="eastAsia" w:ascii="宋体" w:hAnsi="宋体" w:eastAsia="宋体" w:cs="宋体"/>
          <w:kern w:val="0"/>
          <w:sz w:val="24"/>
          <w:szCs w:val="24"/>
        </w:rPr>
        <w:t>教师在线课程建设与应用能力提升行动的成果，进一步提升教师教学能力，推进信息技术与教育教学融合创新发展，</w:t>
      </w:r>
      <w:r>
        <w:rPr>
          <w:rFonts w:hint="eastAsia" w:ascii="宋体" w:hAnsi="宋体" w:eastAsia="宋体" w:cs="宋体"/>
          <w:kern w:val="0"/>
          <w:sz w:val="24"/>
          <w:szCs w:val="24"/>
          <w:lang w:val="en-US" w:eastAsia="zh-CN"/>
        </w:rPr>
        <w:t>我校</w:t>
      </w:r>
      <w:r>
        <w:rPr>
          <w:rFonts w:hint="eastAsia" w:ascii="宋体" w:hAnsi="宋体" w:eastAsia="宋体" w:cs="宋体"/>
          <w:kern w:val="0"/>
          <w:sz w:val="24"/>
          <w:szCs w:val="24"/>
        </w:rPr>
        <w:t>决定</w:t>
      </w:r>
      <w:r>
        <w:rPr>
          <w:rFonts w:hint="eastAsia" w:ascii="宋体" w:hAnsi="宋体" w:eastAsia="宋体" w:cs="宋体"/>
          <w:kern w:val="0"/>
          <w:sz w:val="24"/>
          <w:szCs w:val="24"/>
          <w:lang w:val="en-US" w:eastAsia="zh-CN"/>
        </w:rPr>
        <w:t>组织教师参加</w:t>
      </w:r>
      <w:r>
        <w:rPr>
          <w:rFonts w:hint="eastAsia" w:ascii="宋体" w:hAnsi="宋体" w:eastAsia="宋体" w:cs="宋体"/>
          <w:kern w:val="0"/>
          <w:sz w:val="24"/>
          <w:szCs w:val="24"/>
        </w:rPr>
        <w:t>第二期广西普通本科高校教师在线课程建设与应用能力提升行动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见</w:t>
      </w:r>
      <w:r>
        <w:rPr>
          <w:rFonts w:hint="eastAsia" w:ascii="宋体" w:hAnsi="宋体" w:eastAsia="宋体" w:cs="宋体"/>
          <w:kern w:val="0"/>
          <w:sz w:val="24"/>
          <w:szCs w:val="24"/>
        </w:rPr>
        <w:t>桂教高教〔2022〕6 号</w:t>
      </w:r>
      <w:r>
        <w:rPr>
          <w:rFonts w:hint="eastAsia" w:ascii="宋体" w:hAnsi="宋体" w:eastAsia="宋体" w:cs="宋体"/>
          <w:kern w:val="0"/>
          <w:sz w:val="24"/>
          <w:szCs w:val="24"/>
          <w:lang w:val="en-US" w:eastAsia="zh-CN"/>
        </w:rPr>
        <w:t>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。现将有关事项通知如下：</w:t>
      </w:r>
    </w:p>
    <w:p>
      <w:pPr>
        <w:widowControl/>
        <w:shd w:val="clear" w:color="auto" w:fill="FFFFFF"/>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一、行动目的</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组织教师学习国家级线上一流本科课程及教师教育优质MOOC，提高教师对MOOC、SPOC、微课、翻转课堂、混合式教学等信息化教学方法的认识和运用能力，推动信息技术与教育教学深度融合，进一步提升教师教学方法、教育教学素养、教育教学研究等方面的水平，切实提高教学质量和人才培养质量。</w:t>
      </w:r>
    </w:p>
    <w:p>
      <w:pPr>
        <w:widowControl/>
        <w:shd w:val="clear" w:color="auto" w:fill="FFFFFF"/>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二、参与对象</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（一）50周岁以下（1972年2月21日后出生）的专任教师。</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（二）50周岁以上的专任教师及获国家级一流本科课程主讲教师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自愿参加此次行动。</w:t>
      </w:r>
    </w:p>
    <w:p>
      <w:pPr>
        <w:widowControl/>
        <w:shd w:val="clear" w:color="auto" w:fill="FFFFFF"/>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三、课程资源及学习要求</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（一）85门教师教学能力提升MOOC课程名单及学习方式（详见附件1）。</w:t>
      </w:r>
    </w:p>
    <w:p>
      <w:pPr>
        <w:widowControl/>
        <w:shd w:val="clear" w:color="auto" w:fill="FFFFFF"/>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教育部认定的本科类国家级线上一流课程，包括2017年、2018年国家精品在线开放课程，首批国家级线上一流课程，以及2022年将公布的第二批国家级线上一流课程。课程名单可在国家级一流本科课程建设工作网下载：www.chinaooc.cn。教师需自行登录课程的开课平台学习国家级线上一流课程。</w:t>
      </w:r>
    </w:p>
    <w:p>
      <w:pPr>
        <w:widowControl/>
        <w:shd w:val="clear" w:color="auto" w:fill="FFFFFF"/>
        <w:spacing w:line="360" w:lineRule="auto"/>
        <w:ind w:firstLine="480" w:firstLineChars="200"/>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2022—2023年期间，每位教师可根据从事的专业和兴趣，</w:t>
      </w:r>
      <w:r>
        <w:rPr>
          <w:rFonts w:hint="eastAsia" w:ascii="宋体" w:hAnsi="宋体" w:eastAsia="宋体" w:cs="宋体"/>
          <w:b/>
          <w:color w:val="000000" w:themeColor="text1"/>
          <w:kern w:val="0"/>
          <w:sz w:val="24"/>
          <w:szCs w:val="24"/>
          <w14:textFill>
            <w14:solidFill>
              <w14:schemeClr w14:val="tx1"/>
            </w14:solidFill>
          </w14:textFill>
        </w:rPr>
        <w:t>在以上两类课程中每类至少选择一门学习，需通过课程结课考核。</w:t>
      </w:r>
    </w:p>
    <w:p>
      <w:pPr>
        <w:widowControl/>
        <w:shd w:val="clear" w:color="auto" w:fill="FFFFFF"/>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四、其他事项</w:t>
      </w: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（一）此次行动的学习成果可以作为教师继续教育或其他教学能力培训的成果予以学分或学时认定。</w:t>
      </w:r>
    </w:p>
    <w:p>
      <w:pPr>
        <w:widowControl/>
        <w:shd w:val="clear" w:color="auto" w:fill="FFFFFF"/>
        <w:spacing w:line="360" w:lineRule="auto"/>
        <w:ind w:firstLine="480" w:firstLineChars="200"/>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（二）请各学院（部）</w:t>
      </w:r>
      <w:bookmarkStart w:id="0" w:name="_GoBack"/>
      <w:bookmarkEnd w:id="0"/>
      <w:r>
        <w:rPr>
          <w:rFonts w:hint="eastAsia" w:ascii="宋体" w:hAnsi="宋体" w:eastAsia="宋体" w:cs="宋体"/>
          <w:sz w:val="24"/>
          <w:szCs w:val="24"/>
          <w:shd w:val="clear" w:color="auto" w:fill="FFFFFF"/>
        </w:rPr>
        <w:t>于3月1</w:t>
      </w:r>
      <w:r>
        <w:rPr>
          <w:rFonts w:hint="eastAsia" w:ascii="宋体" w:hAnsi="宋体"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日前，统计并提交本单位需要参加学习的</w:t>
      </w:r>
      <w:r>
        <w:rPr>
          <w:rFonts w:hint="eastAsia" w:ascii="宋体" w:hAnsi="宋体" w:eastAsia="宋体" w:cs="宋体"/>
          <w:sz w:val="24"/>
          <w:szCs w:val="24"/>
          <w:shd w:val="clear" w:color="auto" w:fill="FFFFFF"/>
          <w:lang w:val="en-US" w:eastAsia="zh-CN"/>
        </w:rPr>
        <w:t>教师</w:t>
      </w:r>
      <w:r>
        <w:rPr>
          <w:rFonts w:hint="eastAsia" w:ascii="宋体" w:hAnsi="宋体" w:eastAsia="宋体" w:cs="宋体"/>
          <w:sz w:val="24"/>
          <w:szCs w:val="24"/>
          <w:shd w:val="clear" w:color="auto" w:fill="FFFFFF"/>
        </w:rPr>
        <w:t>情况（详见附件2，电子版和单位盖章后扫描版），发送到邮箱：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"mailto:itto@mailbox.gxnu.edu.cn"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shd w:val="clear" w:color="auto" w:fill="FFFFFF"/>
        </w:rPr>
        <w:t>itto@mailbox.gxnu.edu.cn</w:t>
      </w:r>
      <w:r>
        <w:rPr>
          <w:rStyle w:val="7"/>
          <w:rFonts w:hint="eastAsia" w:ascii="宋体" w:hAnsi="宋体" w:eastAsia="宋体" w:cs="宋体"/>
          <w:sz w:val="24"/>
          <w:szCs w:val="24"/>
          <w:shd w:val="clear" w:color="auto" w:fill="FFFFFF"/>
        </w:rPr>
        <w:fldChar w:fldCharType="end"/>
      </w:r>
    </w:p>
    <w:p>
      <w:pPr>
        <w:widowControl/>
        <w:shd w:val="clear" w:color="auto" w:fill="FFFFFF"/>
        <w:spacing w:line="360" w:lineRule="auto"/>
        <w:ind w:firstLine="480" w:firstLineChars="200"/>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（三）在2022年12月10日前将2022年的《广西普通本科高校教师在线课程建设与应用能力提升行动（二期）完成情况汇总表》（附件3，电子版和盖章后扫描版）发送到邮箱：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"mailto:itto@mailbox.gxnu.edu.cn。"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shd w:val="clear" w:color="auto" w:fill="FFFFFF"/>
        </w:rPr>
        <w:t>itto@mailbox.gxnu.edu.cn。</w:t>
      </w:r>
      <w:r>
        <w:rPr>
          <w:rStyle w:val="7"/>
          <w:rFonts w:hint="eastAsia" w:ascii="宋体" w:hAnsi="宋体" w:eastAsia="宋体" w:cs="宋体"/>
          <w:sz w:val="24"/>
          <w:szCs w:val="24"/>
          <w:shd w:val="clear" w:color="auto" w:fill="FFFFFF"/>
        </w:rPr>
        <w:fldChar w:fldCharType="end"/>
      </w:r>
    </w:p>
    <w:p>
      <w:pPr>
        <w:widowControl/>
        <w:shd w:val="clear" w:color="auto" w:fill="FFFFFF"/>
        <w:spacing w:line="360" w:lineRule="auto"/>
        <w:ind w:firstLine="480" w:firstLineChars="200"/>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（四）请各学院（部）高度重视此项工作，最终数据要上报教育厅，如果出现数据不符将追究相关责任。</w:t>
      </w: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rPr>
      </w:pPr>
    </w:p>
    <w:p>
      <w:pPr>
        <w:widowControl/>
        <w:shd w:val="clear" w:color="auto" w:fill="FFFFFF"/>
        <w:spacing w:line="360" w:lineRule="auto"/>
        <w:ind w:left="420" w:leftChars="200" w:firstLine="0" w:firstLineChars="0"/>
        <w:jc w:val="left"/>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附件：1．广西普通本科高校教师教学能力提升系列MOOC学习指南</w:t>
      </w:r>
    </w:p>
    <w:p>
      <w:pPr>
        <w:widowControl/>
        <w:shd w:val="clear" w:color="auto" w:fill="FFFFFF"/>
        <w:spacing w:line="360" w:lineRule="auto"/>
        <w:ind w:left="420" w:leftChars="200" w:firstLine="720" w:firstLineChars="300"/>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r>
        <w:rPr>
          <w:rFonts w:hint="eastAsia" w:ascii="宋体" w:hAnsi="宋体" w:eastAsia="宋体" w:cs="宋体"/>
          <w:b/>
          <w:bCs/>
          <w:kern w:val="36"/>
          <w:sz w:val="24"/>
          <w:szCs w:val="24"/>
        </w:rPr>
        <w:t xml:space="preserve"> </w:t>
      </w:r>
      <w:r>
        <w:rPr>
          <w:rFonts w:hint="eastAsia" w:ascii="宋体" w:hAnsi="宋体" w:eastAsia="宋体" w:cs="宋体"/>
          <w:sz w:val="24"/>
          <w:szCs w:val="24"/>
          <w:shd w:val="clear" w:color="auto" w:fill="FFFFFF"/>
        </w:rPr>
        <w:t>各学院（部）五十周岁以下教师名单及2022年计划学习课程</w:t>
      </w:r>
    </w:p>
    <w:p>
      <w:pPr>
        <w:widowControl/>
        <w:shd w:val="clear" w:color="auto" w:fill="FFFFFF"/>
        <w:spacing w:line="360" w:lineRule="auto"/>
        <w:ind w:left="420" w:leftChars="200" w:firstLine="720" w:firstLineChars="300"/>
        <w:textAlignment w:val="baseline"/>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w:t>
      </w:r>
      <w:r>
        <w:rPr>
          <w:rFonts w:hint="eastAsia" w:ascii="宋体" w:hAnsi="宋体" w:eastAsia="宋体" w:cs="宋体"/>
          <w:b/>
          <w:bCs/>
          <w:kern w:val="36"/>
          <w:sz w:val="24"/>
          <w:szCs w:val="24"/>
        </w:rPr>
        <w:t xml:space="preserve"> </w:t>
      </w:r>
      <w:r>
        <w:rPr>
          <w:rFonts w:hint="eastAsia" w:ascii="宋体" w:hAnsi="宋体" w:eastAsia="宋体" w:cs="宋体"/>
          <w:sz w:val="24"/>
          <w:szCs w:val="24"/>
          <w:shd w:val="clear" w:color="auto" w:fill="FFFFFF"/>
        </w:rPr>
        <w:t>各学院（部）完成广西普通本科高校教师在线课程建设与应用能力提升行动（二期）情况汇总表</w:t>
      </w: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rPr>
      </w:pP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                                              教务处</w:t>
      </w: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                                         2022年3月10日</w:t>
      </w:r>
    </w:p>
    <w:p>
      <w:pPr>
        <w:widowControl/>
        <w:shd w:val="clear" w:color="auto" w:fill="FFFFFF"/>
        <w:spacing w:line="360" w:lineRule="auto"/>
        <w:ind w:firstLine="480" w:firstLineChars="200"/>
        <w:jc w:val="left"/>
        <w:textAlignment w:val="baseline"/>
        <w:rPr>
          <w:rFonts w:hint="eastAsia" w:ascii="宋体" w:hAnsi="宋体" w:eastAsia="宋体" w:cs="宋体"/>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AB"/>
    <w:rsid w:val="000308F0"/>
    <w:rsid w:val="000D2769"/>
    <w:rsid w:val="000E14AB"/>
    <w:rsid w:val="001232DC"/>
    <w:rsid w:val="001C1427"/>
    <w:rsid w:val="001F022D"/>
    <w:rsid w:val="00223164"/>
    <w:rsid w:val="002878B6"/>
    <w:rsid w:val="00301DA2"/>
    <w:rsid w:val="00427926"/>
    <w:rsid w:val="00802B50"/>
    <w:rsid w:val="00987521"/>
    <w:rsid w:val="009965C5"/>
    <w:rsid w:val="009A63DA"/>
    <w:rsid w:val="009C074A"/>
    <w:rsid w:val="00DE0F93"/>
    <w:rsid w:val="00F547EF"/>
    <w:rsid w:val="10FC3DFB"/>
    <w:rsid w:val="140E160C"/>
    <w:rsid w:val="2D4A06EA"/>
    <w:rsid w:val="4F59178C"/>
    <w:rsid w:val="528D1E68"/>
    <w:rsid w:val="552B7A3E"/>
    <w:rsid w:val="558D654F"/>
    <w:rsid w:val="5C0D1ACF"/>
    <w:rsid w:val="63686BC8"/>
    <w:rsid w:val="685E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spacing w:before="100" w:beforeAutospacing="1"/>
      <w:ind w:left="890"/>
      <w:jc w:val="left"/>
      <w:outlineLvl w:val="0"/>
    </w:pPr>
    <w:rPr>
      <w:rFonts w:ascii="方正小标宋简体" w:hAnsi="宋体" w:eastAsia="方正小标宋简体" w:cs="Times New Roman"/>
      <w:kern w:val="0"/>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标题 1 字符"/>
    <w:basedOn w:val="6"/>
    <w:link w:val="2"/>
    <w:uiPriority w:val="99"/>
    <w:rPr>
      <w:rFonts w:ascii="方正小标宋简体" w:hAnsi="宋体" w:eastAsia="方正小标宋简体" w:cs="Times New Roman"/>
      <w:kern w:val="0"/>
      <w:sz w:val="44"/>
      <w:szCs w:val="44"/>
    </w:r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Words>
  <Characters>1076</Characters>
  <Lines>8</Lines>
  <Paragraphs>2</Paragraphs>
  <TotalTime>6</TotalTime>
  <ScaleCrop>false</ScaleCrop>
  <LinksUpToDate>false</LinksUpToDate>
  <CharactersWithSpaces>1262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2022-03-10T02:14:00Z</dcterms:created>
  <dc:creator>韦民伟</dc:creator>
  <cp:lastModifiedBy>黄坚</cp:lastModifiedBy>
  <dcterms:modified xsi:type="dcterms:W3CDTF">2022-03-12T05:34:13Z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433B9E0C24F74935A51BC39DC4D6DAB2</vt:lpwstr>
  </property>
</Properties>
</file>