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559" w:type="dxa"/>
        <w:jc w:val="center"/>
        <w:tblCellSpacing w:w="0" w:type="dxa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559" w:type="dxa"/>
            <w:tcBorders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3005C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3005C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3005C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3005C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教务〔2017〕10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color w:val="03005C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关于开展2017年我校教材建设成果奖申报推荐工作的通知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559" w:type="dxa"/>
            <w:tcBorders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各学院（部）、各单位：</w:t>
            </w:r>
          </w:p>
          <w:p>
            <w:pPr>
              <w:widowControl/>
              <w:spacing w:line="460" w:lineRule="exac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为推动我校教材建设，鼓励我校教师刻苦钻研教材，及时总结教学经验凝练学术成果，提高教学质量，进一步推动我校教师多出精品多出高水平的教材成果。经研究，决定将定期开展我校教材建设成果奖评审工作。现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2017年我校教材建设成果奖申报推荐工作通知如下：  </w:t>
            </w:r>
          </w:p>
          <w:p>
            <w:pPr>
              <w:widowControl/>
              <w:spacing w:line="460" w:lineRule="exac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一、评选范围</w:t>
            </w:r>
          </w:p>
          <w:p>
            <w:pPr>
              <w:widowControl/>
              <w:spacing w:line="460" w:lineRule="exac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参评教材需同时满足以下条件：</w:t>
            </w:r>
          </w:p>
          <w:p>
            <w:pPr>
              <w:widowControl/>
              <w:spacing w:line="460" w:lineRule="exac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 我校教师担任主编（或未设主编而任第一编者）的教材。</w:t>
            </w:r>
          </w:p>
          <w:p>
            <w:pPr>
              <w:widowControl/>
              <w:spacing w:line="460" w:lineRule="exac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2. 近五年内（即从2012年1月1日至2016年12月30日，以版权页的出版时间为准），正式出版的各类教材（包括文字教材、电子教材及CAI课件），不包括学术专著。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二、评选条件</w:t>
            </w:r>
          </w:p>
          <w:p>
            <w:pPr>
              <w:widowControl/>
              <w:spacing w:line="460" w:lineRule="exac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 教材思想观点正确，无政治性和思想性错误，教材内容符合党和国家的方针、政策和教育目标。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确保教材意识形态的正确方向。</w:t>
            </w:r>
          </w:p>
          <w:p>
            <w:pPr>
              <w:widowControl/>
              <w:spacing w:line="460" w:lineRule="exac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2. 具有与本学科、本专业发展相适应的科学水平，有较强的先进性、实用性、理论性和系统性。能正确阐述本学科、本专业理论和概念，贯彻理论与实际相结合的原则，在教学上具有较强的适用性。</w:t>
            </w:r>
          </w:p>
          <w:p>
            <w:pPr>
              <w:widowControl/>
              <w:spacing w:line="460" w:lineRule="exac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3. 教材质量较高，在国内同类教材中居领先地位，在教学过程中教师、学生一致反映良好。</w:t>
            </w:r>
          </w:p>
          <w:p>
            <w:pPr>
              <w:widowControl/>
              <w:spacing w:line="460" w:lineRule="exac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4. 弘扬中华文明，在文化传承方面做出显著成绩。</w:t>
            </w:r>
          </w:p>
          <w:p>
            <w:pPr>
              <w:widowControl/>
              <w:spacing w:line="460" w:lineRule="exac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5. 参加评奖的教材必须经过本校1届以上（含1届）学生的教学实践检验，且得到普遍认可。</w:t>
            </w:r>
          </w:p>
          <w:p>
            <w:pPr>
              <w:widowControl/>
              <w:spacing w:line="460" w:lineRule="exac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6. 分册出版的丛书、套书，合用一个书号的，只能以整套参评；分别使用书号的，既可以整套参评，也可以其中一册参评。   </w:t>
            </w:r>
          </w:p>
          <w:p>
            <w:pPr>
              <w:widowControl/>
              <w:spacing w:line="460" w:lineRule="exac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60" w:lineRule="exac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三、申报程序</w:t>
            </w:r>
          </w:p>
          <w:p>
            <w:pPr>
              <w:widowControl/>
              <w:spacing w:line="460" w:lineRule="exac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由申请人填写《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2017年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广西师范大学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教材建设成果奖申报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表》，并自行聘请2名同行正高职称专家提出评审意见， </w:t>
            </w:r>
          </w:p>
          <w:p>
            <w:pPr>
              <w:widowControl/>
              <w:adjustRightInd w:val="0"/>
              <w:snapToGrid w:val="0"/>
              <w:spacing w:line="460" w:lineRule="exact"/>
              <w:ind w:firstLine="560" w:firstLineChars="2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2.所在学院汇总后组织学院专家组进行评审，在评议的基础上择优申报，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学院（部）签署意见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，签字并加盖公章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后，提交教务处。</w:t>
            </w:r>
          </w:p>
          <w:p>
            <w:pPr>
              <w:widowControl/>
              <w:adjustRightInd w:val="0"/>
              <w:snapToGrid w:val="0"/>
              <w:spacing w:line="460" w:lineRule="exact"/>
              <w:ind w:firstLine="560" w:firstLineChars="2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3.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由教务处组织学校教学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教材建设与管理委员会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专家及校出版社专家进行终审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，终审通过给予一定奖金奖励。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 四、报送材料及时间要求：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 请各学院务必于2017年10月10日前，以学院为单位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将纸质版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报教务处教材科，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电子版发送至gxsdjcjs@qq.com。逾期不受理。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《2017年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广西师范大学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教材建设成果奖申报表》（附件1，一式五份）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2.《2017年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广西师范大学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教材建设成果奖汇总表》（附件2，一式一份）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3.《2017年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广西师范大学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教材建设成果奖专家评议表》（一式五份）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4.教材样书2 本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5.申报表、专家评议表、样书一并放在一个档案袋中，封面标明所在学院名称、教材名称、申报人姓名、手机号码。</w:t>
            </w:r>
          </w:p>
          <w:p>
            <w:pPr>
              <w:spacing w:line="460" w:lineRule="exact"/>
              <w:ind w:firstLine="56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未尽事宜，请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电话联系：5846496</w:t>
            </w:r>
          </w:p>
          <w:p>
            <w:pPr>
              <w:spacing w:line="460" w:lineRule="exact"/>
              <w:ind w:firstLine="560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广西师范大学教务处</w:t>
            </w:r>
          </w:p>
          <w:p>
            <w:pPr>
              <w:spacing w:line="460" w:lineRule="exact"/>
              <w:ind w:firstLine="560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2017年9月27日</w:t>
            </w:r>
          </w:p>
          <w:p>
            <w:pPr>
              <w:spacing w:line="460" w:lineRule="exact"/>
              <w:ind w:firstLine="560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ind w:firstLine="560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ind w:firstLine="560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附件1.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《2017年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广西师范大学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教材建设成果奖申报表》（附件1，一式五份）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附件2.《2017年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广西师范大学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教材建设成果奖汇总表》（附件2，一式一份）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附件3.《2017年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广西师范大学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教材建设成果奖专家评议表》（一式五份）</w:t>
            </w:r>
          </w:p>
          <w:p>
            <w:pPr>
              <w:widowControl/>
              <w:spacing w:line="460" w:lineRule="exact"/>
              <w:ind w:firstLine="480"/>
              <w:jc w:val="left"/>
              <w:rPr>
                <w:rFonts w:hint="eastAsia" w:ascii="宋体" w:hAnsi="宋体" w:eastAsia="宋体" w:cs="宋体"/>
                <w:color w:val="292929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jc w:val="left"/>
        <w:rPr>
          <w:rFonts w:hint="eastAsia" w:ascii="宋体" w:hAnsi="宋体" w:eastAsia="宋体" w:cs="宋体"/>
          <w:spacing w:val="5"/>
          <w:kern w:val="0"/>
          <w:sz w:val="28"/>
          <w:szCs w:val="28"/>
        </w:rPr>
      </w:pPr>
    </w:p>
    <w:sectPr>
      <w:pgSz w:w="11906" w:h="16838"/>
      <w:pgMar w:top="1134" w:right="1134" w:bottom="1134" w:left="113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B6456"/>
    <w:rsid w:val="000113A8"/>
    <w:rsid w:val="00035392"/>
    <w:rsid w:val="000368D2"/>
    <w:rsid w:val="000B0A93"/>
    <w:rsid w:val="000F6AE5"/>
    <w:rsid w:val="00131ADC"/>
    <w:rsid w:val="00170639"/>
    <w:rsid w:val="00232A58"/>
    <w:rsid w:val="002350D5"/>
    <w:rsid w:val="00255679"/>
    <w:rsid w:val="00325969"/>
    <w:rsid w:val="00333D6C"/>
    <w:rsid w:val="003548D7"/>
    <w:rsid w:val="0037409E"/>
    <w:rsid w:val="003B033C"/>
    <w:rsid w:val="00436299"/>
    <w:rsid w:val="00472F85"/>
    <w:rsid w:val="004851FF"/>
    <w:rsid w:val="004A5C89"/>
    <w:rsid w:val="004E4287"/>
    <w:rsid w:val="00504D69"/>
    <w:rsid w:val="005B6456"/>
    <w:rsid w:val="005C1B70"/>
    <w:rsid w:val="005D2B7B"/>
    <w:rsid w:val="00614ACC"/>
    <w:rsid w:val="006807F4"/>
    <w:rsid w:val="006930B4"/>
    <w:rsid w:val="006E5E5A"/>
    <w:rsid w:val="00703016"/>
    <w:rsid w:val="00813628"/>
    <w:rsid w:val="00834F07"/>
    <w:rsid w:val="00853908"/>
    <w:rsid w:val="00896792"/>
    <w:rsid w:val="008F508A"/>
    <w:rsid w:val="009160CE"/>
    <w:rsid w:val="00917E8F"/>
    <w:rsid w:val="009364B4"/>
    <w:rsid w:val="009C3912"/>
    <w:rsid w:val="009D05C4"/>
    <w:rsid w:val="009E297C"/>
    <w:rsid w:val="00A60FF5"/>
    <w:rsid w:val="00B15049"/>
    <w:rsid w:val="00B1754B"/>
    <w:rsid w:val="00BA1EB1"/>
    <w:rsid w:val="00BC03E6"/>
    <w:rsid w:val="00C35937"/>
    <w:rsid w:val="00C6076B"/>
    <w:rsid w:val="00CD4929"/>
    <w:rsid w:val="00CE0E2E"/>
    <w:rsid w:val="00CF19D2"/>
    <w:rsid w:val="00DB4FAB"/>
    <w:rsid w:val="00DC70F4"/>
    <w:rsid w:val="00DE4ACC"/>
    <w:rsid w:val="00E7173D"/>
    <w:rsid w:val="00EB7599"/>
    <w:rsid w:val="00ED6155"/>
    <w:rsid w:val="00ED6DE5"/>
    <w:rsid w:val="00F15766"/>
    <w:rsid w:val="00FF4C6D"/>
    <w:rsid w:val="1391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default="1" w:styleId="12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23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4">
    <w:name w:val="Body Text"/>
    <w:basedOn w:val="1"/>
    <w:link w:val="21"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19"/>
    <w:uiPriority w:val="0"/>
    <w:pPr>
      <w:widowControl/>
      <w:spacing w:before="100" w:beforeAutospacing="1" w:after="100" w:afterAutospacing="1" w:line="336" w:lineRule="auto"/>
      <w:jc w:val="left"/>
    </w:pPr>
    <w:rPr>
      <w:rFonts w:ascii="ˎ̥" w:hAnsi="ˎ̥" w:eastAsia="宋体" w:cs="宋体"/>
      <w:kern w:val="0"/>
      <w:sz w:val="22"/>
    </w:rPr>
  </w:style>
  <w:style w:type="paragraph" w:styleId="6">
    <w:name w:val="Date"/>
    <w:basedOn w:val="1"/>
    <w:next w:val="1"/>
    <w:link w:val="20"/>
    <w:qFormat/>
    <w:uiPriority w:val="0"/>
    <w:pPr>
      <w:ind w:left="100" w:leftChars="2500"/>
    </w:pPr>
    <w:rPr>
      <w:rFonts w:ascii="Times New Roman" w:hAnsi="Times New Roman" w:eastAsia="华文楷体" w:cs="Times New Roman"/>
      <w:sz w:val="28"/>
      <w:szCs w:val="24"/>
    </w:rPr>
  </w:style>
  <w:style w:type="paragraph" w:styleId="7">
    <w:name w:val="Body Text Indent 2"/>
    <w:basedOn w:val="1"/>
    <w:link w:val="2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Balloon Text"/>
    <w:basedOn w:val="1"/>
    <w:link w:val="17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4"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character" w:styleId="13">
    <w:name w:val="Hyperlink"/>
    <w:basedOn w:val="12"/>
    <w:unhideWhenUsed/>
    <w:uiPriority w:val="99"/>
    <w:rPr>
      <w:color w:val="292929"/>
      <w:u w:val="none"/>
    </w:rPr>
  </w:style>
  <w:style w:type="character" w:customStyle="1" w:styleId="15">
    <w:name w:val="页眉 Char"/>
    <w:basedOn w:val="12"/>
    <w:link w:val="10"/>
    <w:uiPriority w:val="0"/>
    <w:rPr>
      <w:sz w:val="18"/>
      <w:szCs w:val="18"/>
    </w:rPr>
  </w:style>
  <w:style w:type="character" w:customStyle="1" w:styleId="16">
    <w:name w:val="页脚 Char"/>
    <w:basedOn w:val="12"/>
    <w:link w:val="9"/>
    <w:qFormat/>
    <w:uiPriority w:val="0"/>
    <w:rPr>
      <w:sz w:val="18"/>
      <w:szCs w:val="18"/>
    </w:rPr>
  </w:style>
  <w:style w:type="character" w:customStyle="1" w:styleId="17">
    <w:name w:val="批注框文本 Char"/>
    <w:basedOn w:val="12"/>
    <w:link w:val="8"/>
    <w:semiHidden/>
    <w:uiPriority w:val="0"/>
    <w:rPr>
      <w:sz w:val="18"/>
      <w:szCs w:val="18"/>
    </w:rPr>
  </w:style>
  <w:style w:type="character" w:customStyle="1" w:styleId="18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19">
    <w:name w:val="正文文本缩进 Char"/>
    <w:basedOn w:val="12"/>
    <w:link w:val="5"/>
    <w:qFormat/>
    <w:uiPriority w:val="0"/>
    <w:rPr>
      <w:rFonts w:ascii="ˎ̥" w:hAnsi="ˎ̥" w:eastAsia="宋体" w:cs="宋体"/>
      <w:kern w:val="0"/>
      <w:sz w:val="22"/>
    </w:rPr>
  </w:style>
  <w:style w:type="character" w:customStyle="1" w:styleId="20">
    <w:name w:val="日期 Char"/>
    <w:basedOn w:val="12"/>
    <w:link w:val="6"/>
    <w:qFormat/>
    <w:uiPriority w:val="0"/>
    <w:rPr>
      <w:rFonts w:ascii="Times New Roman" w:hAnsi="Times New Roman" w:eastAsia="华文楷体" w:cs="Times New Roman"/>
      <w:sz w:val="28"/>
      <w:szCs w:val="24"/>
    </w:rPr>
  </w:style>
  <w:style w:type="character" w:customStyle="1" w:styleId="21">
    <w:name w:val="正文文本 Char"/>
    <w:basedOn w:val="12"/>
    <w:link w:val="4"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正文文本缩进 2 Char"/>
    <w:basedOn w:val="12"/>
    <w:link w:val="7"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正文文本 3 Char"/>
    <w:basedOn w:val="12"/>
    <w:link w:val="3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24">
    <w:name w:val="正文文本缩进 3 Char"/>
    <w:basedOn w:val="12"/>
    <w:link w:val="11"/>
    <w:qFormat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1037</Characters>
  <Lines>8</Lines>
  <Paragraphs>2</Paragraphs>
  <TotalTime>0</TotalTime>
  <ScaleCrop>false</ScaleCrop>
  <LinksUpToDate>false</LinksUpToDate>
  <CharactersWithSpaces>1216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2017-03-23T07:43:00Z</dcterms:created>
  <dc:creator>chenxm</dc:creator>
  <cp:lastModifiedBy>Administrator</cp:lastModifiedBy>
  <cp:lastPrinted>2017-04-05T07:25:00Z</cp:lastPrinted>
  <dcterms:modified xsi:type="dcterms:W3CDTF">2017-09-27T09:11:39Z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