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32"/>
          <w:szCs w:val="32"/>
        </w:rPr>
      </w:pPr>
      <w:r>
        <w:rPr>
          <w:rFonts w:hint="eastAsia" w:ascii="宋体" w:hAnsi="宋体"/>
          <w:b/>
          <w:color w:val="000000"/>
          <w:kern w:val="0"/>
          <w:sz w:val="30"/>
          <w:szCs w:val="30"/>
        </w:rPr>
        <w:t>附件：</w:t>
      </w:r>
      <w:r>
        <w:rPr>
          <w:rFonts w:hint="eastAsia" w:ascii="宋体" w:hAnsi="宋体"/>
          <w:b/>
          <w:color w:val="000000"/>
          <w:kern w:val="0"/>
          <w:sz w:val="32"/>
          <w:szCs w:val="32"/>
        </w:rPr>
        <w:t>2017届全日制普通本科毕业生教务工作日程安排表</w:t>
      </w:r>
    </w:p>
    <w:tbl>
      <w:tblPr>
        <w:tblStyle w:val="2"/>
        <w:tblpPr w:leftFromText="180" w:rightFromText="180" w:vertAnchor="page" w:horzAnchor="margin" w:tblpXSpec="center" w:tblpY="1249"/>
        <w:tblW w:w="11088" w:type="dxa"/>
        <w:tblInd w:w="0" w:type="dxa"/>
        <w:tblLayout w:type="fixed"/>
        <w:tblCellMar>
          <w:top w:w="0" w:type="dxa"/>
          <w:left w:w="108" w:type="dxa"/>
          <w:bottom w:w="0" w:type="dxa"/>
          <w:right w:w="108" w:type="dxa"/>
        </w:tblCellMar>
      </w:tblPr>
      <w:tblGrid>
        <w:gridCol w:w="828"/>
        <w:gridCol w:w="1080"/>
        <w:gridCol w:w="9180"/>
      </w:tblGrid>
      <w:tr>
        <w:tblPrEx>
          <w:tblCellMar>
            <w:top w:w="0" w:type="dxa"/>
            <w:left w:w="108" w:type="dxa"/>
            <w:bottom w:w="0" w:type="dxa"/>
            <w:right w:w="108" w:type="dxa"/>
          </w:tblCellMar>
        </w:tblPrEx>
        <w:trPr>
          <w:cantSplit/>
          <w:trHeight w:val="293" w:hRule="atLeast"/>
        </w:trPr>
        <w:tc>
          <w:tcPr>
            <w:tcW w:w="828" w:type="dxa"/>
            <w:tcBorders>
              <w:top w:val="single" w:color="auto" w:sz="6" w:space="0"/>
              <w:left w:val="single" w:color="auto" w:sz="6" w:space="0"/>
              <w:right w:val="single" w:color="auto" w:sz="6" w:space="0"/>
            </w:tcBorders>
            <w:vAlign w:val="top"/>
          </w:tcPr>
          <w:p>
            <w:pPr>
              <w:spacing w:line="300" w:lineRule="exact"/>
              <w:ind w:left="-90"/>
              <w:jc w:val="center"/>
              <w:rPr>
                <w:rFonts w:ascii="宋体" w:hAnsi="宋体"/>
                <w:b/>
                <w:color w:val="000000"/>
                <w:sz w:val="24"/>
              </w:rPr>
            </w:pPr>
            <w:r>
              <w:rPr>
                <w:rFonts w:hint="eastAsia" w:ascii="宋体" w:hAnsi="宋体"/>
                <w:b/>
                <w:color w:val="000000"/>
                <w:spacing w:val="-2"/>
                <w:kern w:val="0"/>
                <w:sz w:val="24"/>
              </w:rPr>
              <w:t>周次</w:t>
            </w:r>
          </w:p>
        </w:tc>
        <w:tc>
          <w:tcPr>
            <w:tcW w:w="1080" w:type="dxa"/>
            <w:tcBorders>
              <w:top w:val="single" w:color="auto" w:sz="6" w:space="0"/>
              <w:left w:val="single" w:color="auto" w:sz="6" w:space="0"/>
              <w:right w:val="single" w:color="auto" w:sz="6" w:space="0"/>
            </w:tcBorders>
            <w:vAlign w:val="top"/>
          </w:tcPr>
          <w:p>
            <w:pPr>
              <w:spacing w:line="300" w:lineRule="exact"/>
              <w:ind w:left="-90" w:leftChars="-43"/>
              <w:jc w:val="center"/>
              <w:rPr>
                <w:rFonts w:ascii="宋体" w:hAnsi="宋体"/>
                <w:b/>
                <w:color w:val="000000"/>
                <w:sz w:val="24"/>
              </w:rPr>
            </w:pPr>
            <w:r>
              <w:rPr>
                <w:rFonts w:hint="eastAsia" w:ascii="宋体" w:hAnsi="宋体"/>
                <w:b/>
                <w:color w:val="000000"/>
                <w:spacing w:val="-2"/>
                <w:kern w:val="0"/>
                <w:sz w:val="24"/>
              </w:rPr>
              <w:t>月</w:t>
            </w:r>
            <w:r>
              <w:rPr>
                <w:rFonts w:ascii="宋体" w:hAnsi="宋体"/>
                <w:b/>
                <w:color w:val="000000"/>
                <w:spacing w:val="-2"/>
                <w:kern w:val="0"/>
                <w:sz w:val="24"/>
              </w:rPr>
              <w:t xml:space="preserve">  </w:t>
            </w:r>
            <w:r>
              <w:rPr>
                <w:rFonts w:hint="eastAsia" w:ascii="宋体" w:hAnsi="宋体"/>
                <w:b/>
                <w:color w:val="000000"/>
                <w:spacing w:val="-2"/>
                <w:kern w:val="0"/>
                <w:sz w:val="24"/>
              </w:rPr>
              <w:t>日</w:t>
            </w:r>
          </w:p>
        </w:tc>
        <w:tc>
          <w:tcPr>
            <w:tcW w:w="9180" w:type="dxa"/>
            <w:tcBorders>
              <w:top w:val="single" w:color="auto" w:sz="6" w:space="0"/>
              <w:left w:val="single" w:color="auto" w:sz="6" w:space="0"/>
              <w:bottom w:val="nil"/>
              <w:right w:val="single" w:color="auto" w:sz="6" w:space="0"/>
            </w:tcBorders>
            <w:vAlign w:val="center"/>
          </w:tcPr>
          <w:p>
            <w:pPr>
              <w:spacing w:line="300" w:lineRule="exact"/>
              <w:ind w:left="-90"/>
              <w:jc w:val="center"/>
              <w:rPr>
                <w:rFonts w:ascii="宋体" w:hAnsi="宋体"/>
                <w:b/>
                <w:color w:val="000000"/>
                <w:sz w:val="24"/>
              </w:rPr>
            </w:pPr>
            <w:r>
              <w:rPr>
                <w:rFonts w:hint="eastAsia" w:ascii="宋体" w:hAnsi="宋体"/>
                <w:b/>
                <w:color w:val="000000"/>
                <w:spacing w:val="-2"/>
                <w:kern w:val="0"/>
                <w:sz w:val="24"/>
              </w:rPr>
              <w:t>内</w:t>
            </w:r>
            <w:r>
              <w:rPr>
                <w:rFonts w:ascii="宋体" w:hAnsi="宋体"/>
                <w:b/>
                <w:color w:val="000000"/>
                <w:spacing w:val="-2"/>
                <w:kern w:val="0"/>
                <w:sz w:val="24"/>
              </w:rPr>
              <w:t xml:space="preserve">  </w:t>
            </w:r>
            <w:r>
              <w:rPr>
                <w:rFonts w:hint="eastAsia" w:ascii="宋体" w:hAnsi="宋体"/>
                <w:b/>
                <w:color w:val="000000"/>
                <w:spacing w:val="-2"/>
                <w:kern w:val="0"/>
                <w:sz w:val="24"/>
              </w:rPr>
              <w:t xml:space="preserve">        </w:t>
            </w:r>
            <w:r>
              <w:rPr>
                <w:rFonts w:ascii="宋体" w:hAnsi="宋体"/>
                <w:b/>
                <w:color w:val="000000"/>
                <w:spacing w:val="-2"/>
                <w:kern w:val="0"/>
                <w:sz w:val="24"/>
              </w:rPr>
              <w:t xml:space="preserve">  </w:t>
            </w:r>
            <w:r>
              <w:rPr>
                <w:rFonts w:hint="eastAsia" w:ascii="宋体" w:hAnsi="宋体"/>
                <w:b/>
                <w:color w:val="000000"/>
                <w:spacing w:val="-2"/>
                <w:kern w:val="0"/>
                <w:sz w:val="24"/>
              </w:rPr>
              <w:t>容</w:t>
            </w:r>
          </w:p>
        </w:tc>
      </w:tr>
      <w:tr>
        <w:tblPrEx>
          <w:tblCellMar>
            <w:top w:w="0" w:type="dxa"/>
            <w:left w:w="108" w:type="dxa"/>
            <w:bottom w:w="0" w:type="dxa"/>
            <w:right w:w="108" w:type="dxa"/>
          </w:tblCellMar>
        </w:tblPrEx>
        <w:trPr>
          <w:trHeight w:val="1034" w:hRule="atLeast"/>
        </w:trPr>
        <w:tc>
          <w:tcPr>
            <w:tcW w:w="828"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color w:val="000000"/>
              </w:rPr>
            </w:pPr>
            <w:r>
              <w:rPr>
                <w:color w:val="000000"/>
              </w:rPr>
              <w:t>1-</w:t>
            </w:r>
            <w:r>
              <w:rPr>
                <w:rFonts w:hint="eastAsia"/>
                <w:color w:val="000000"/>
              </w:rPr>
              <w:t>2</w:t>
            </w:r>
          </w:p>
        </w:tc>
        <w:tc>
          <w:tcPr>
            <w:tcW w:w="1080" w:type="dxa"/>
            <w:tcBorders>
              <w:top w:val="single" w:color="auto" w:sz="6" w:space="0"/>
              <w:left w:val="single" w:color="auto" w:sz="6" w:space="0"/>
              <w:bottom w:val="single" w:color="auto" w:sz="4" w:space="0"/>
              <w:right w:val="single" w:color="auto" w:sz="6" w:space="0"/>
            </w:tcBorders>
            <w:vAlign w:val="center"/>
          </w:tcPr>
          <w:p>
            <w:pPr>
              <w:spacing w:line="300" w:lineRule="exact"/>
              <w:rPr>
                <w:rFonts w:hint="eastAsia"/>
                <w:color w:val="000000"/>
              </w:rPr>
            </w:pPr>
            <w:r>
              <w:rPr>
                <w:rFonts w:hint="eastAsia"/>
                <w:color w:val="000000"/>
              </w:rPr>
              <w:t>2.27</w:t>
            </w:r>
            <w:r>
              <w:rPr>
                <w:color w:val="000000"/>
              </w:rPr>
              <w:t>-</w:t>
            </w:r>
            <w:r>
              <w:rPr>
                <w:rFonts w:hint="eastAsia"/>
                <w:color w:val="000000"/>
              </w:rPr>
              <w:t>3.12</w:t>
            </w:r>
          </w:p>
        </w:tc>
        <w:tc>
          <w:tcPr>
            <w:tcW w:w="9180" w:type="dxa"/>
            <w:tcBorders>
              <w:top w:val="single" w:color="auto" w:sz="6" w:space="0"/>
              <w:left w:val="single" w:color="auto" w:sz="6" w:space="0"/>
              <w:bottom w:val="single" w:color="auto" w:sz="4" w:space="0"/>
              <w:right w:val="single" w:color="auto" w:sz="6" w:space="0"/>
            </w:tcBorders>
            <w:vAlign w:val="top"/>
          </w:tcPr>
          <w:p>
            <w:pPr>
              <w:spacing w:line="300" w:lineRule="exact"/>
              <w:ind w:left="-90"/>
              <w:rPr>
                <w:rFonts w:hint="eastAsia" w:ascii="宋体" w:hAnsi="宋体"/>
                <w:color w:val="000000"/>
                <w:spacing w:val="-2"/>
                <w:kern w:val="0"/>
                <w:szCs w:val="25"/>
              </w:rPr>
            </w:pPr>
            <w:r>
              <w:rPr>
                <w:rFonts w:ascii="宋体" w:hAnsi="宋体"/>
                <w:color w:val="000000"/>
                <w:spacing w:val="-2"/>
                <w:kern w:val="0"/>
                <w:szCs w:val="25"/>
              </w:rPr>
              <w:t>1</w:t>
            </w:r>
            <w:r>
              <w:rPr>
                <w:rFonts w:hint="eastAsia" w:ascii="宋体" w:hAnsi="宋体"/>
                <w:color w:val="000000"/>
                <w:spacing w:val="-2"/>
                <w:kern w:val="0"/>
                <w:szCs w:val="25"/>
              </w:rPr>
              <w:t>．学籍管理科核查教务系统毕业审核模块，做好毕业审核条件的修订和调整工作；</w:t>
            </w:r>
          </w:p>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2．各学院完成毕业论文、就业指导等课程的排课、选课工作；</w:t>
            </w:r>
          </w:p>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3．学籍管理科核实毕业学生学籍异动情况；</w:t>
            </w:r>
          </w:p>
          <w:p>
            <w:pPr>
              <w:spacing w:line="300" w:lineRule="exact"/>
              <w:ind w:left="-90"/>
              <w:rPr>
                <w:rFonts w:ascii="宋体" w:hAnsi="宋体"/>
                <w:color w:val="000000"/>
                <w:szCs w:val="25"/>
              </w:rPr>
            </w:pPr>
            <w:r>
              <w:rPr>
                <w:rFonts w:hint="eastAsia" w:ascii="宋体" w:hAnsi="宋体"/>
                <w:color w:val="000000"/>
                <w:spacing w:val="-2"/>
                <w:kern w:val="0"/>
                <w:szCs w:val="25"/>
              </w:rPr>
              <w:t>4．各学院辅导员组织毕业学生登录学信网核实电子注册照片，如有错误或漏照请到学籍科申请处理。</w:t>
            </w:r>
          </w:p>
        </w:tc>
      </w:tr>
      <w:tr>
        <w:tblPrEx>
          <w:tblCellMar>
            <w:top w:w="0" w:type="dxa"/>
            <w:left w:w="108" w:type="dxa"/>
            <w:bottom w:w="0" w:type="dxa"/>
            <w:right w:w="108" w:type="dxa"/>
          </w:tblCellMar>
        </w:tblPrEx>
        <w:trPr>
          <w:trHeight w:val="1203" w:hRule="atLeast"/>
        </w:trPr>
        <w:tc>
          <w:tcPr>
            <w:tcW w:w="828"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hint="eastAsia"/>
                <w:color w:val="000000"/>
              </w:rPr>
            </w:pPr>
            <w:r>
              <w:rPr>
                <w:rFonts w:hint="eastAsia"/>
                <w:color w:val="000000"/>
              </w:rPr>
              <w:t>3-4</w:t>
            </w:r>
          </w:p>
        </w:tc>
        <w:tc>
          <w:tcPr>
            <w:tcW w:w="1080" w:type="dxa"/>
            <w:tcBorders>
              <w:top w:val="single" w:color="auto" w:sz="4" w:space="0"/>
              <w:left w:val="single" w:color="auto" w:sz="6" w:space="0"/>
              <w:bottom w:val="single" w:color="auto" w:sz="6" w:space="0"/>
              <w:right w:val="single" w:color="auto" w:sz="6" w:space="0"/>
            </w:tcBorders>
            <w:vAlign w:val="center"/>
          </w:tcPr>
          <w:p>
            <w:pPr>
              <w:spacing w:line="300" w:lineRule="exact"/>
              <w:rPr>
                <w:rFonts w:hint="eastAsia"/>
                <w:color w:val="000000"/>
              </w:rPr>
            </w:pPr>
            <w:r>
              <w:rPr>
                <w:rFonts w:hint="eastAsia"/>
                <w:color w:val="000000"/>
              </w:rPr>
              <w:t>3.13-3. 26</w:t>
            </w:r>
          </w:p>
        </w:tc>
        <w:tc>
          <w:tcPr>
            <w:tcW w:w="9180" w:type="dxa"/>
            <w:tcBorders>
              <w:top w:val="single" w:color="auto" w:sz="4" w:space="0"/>
              <w:left w:val="single" w:color="auto" w:sz="6" w:space="0"/>
              <w:bottom w:val="single" w:color="auto" w:sz="6" w:space="0"/>
              <w:right w:val="single" w:color="auto" w:sz="6" w:space="0"/>
            </w:tcBorders>
            <w:vAlign w:val="top"/>
          </w:tcPr>
          <w:p>
            <w:pPr>
              <w:spacing w:line="300" w:lineRule="exact"/>
              <w:ind w:left="219" w:leftChars="-43" w:hanging="309" w:hangingChars="150"/>
              <w:rPr>
                <w:rFonts w:hint="eastAsia" w:ascii="宋体" w:hAnsi="宋体"/>
                <w:color w:val="000000"/>
                <w:spacing w:val="-2"/>
                <w:kern w:val="0"/>
                <w:szCs w:val="25"/>
              </w:rPr>
            </w:pPr>
            <w:r>
              <w:rPr>
                <w:rFonts w:hint="eastAsia" w:ascii="宋体" w:hAnsi="宋体"/>
                <w:color w:val="000000"/>
                <w:spacing w:val="-2"/>
                <w:kern w:val="0"/>
                <w:szCs w:val="25"/>
              </w:rPr>
              <w:t>1．各学院对照人才培养方案全面检查2017届毕业班的教学计划执行情况，重点核查教学计划、毕业要求等在教务管理系统中的录入和执行情况；</w:t>
            </w:r>
          </w:p>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2．收集、检查各学院毕业班学生上学期成绩输入情况，并完成成绩确认。毕业班学生如要求提高学校英语课程最高级别课程成绩的，请以班级为单位到大学外语部申请重修；</w:t>
            </w:r>
          </w:p>
          <w:p>
            <w:pPr>
              <w:spacing w:line="300" w:lineRule="exact"/>
              <w:ind w:left="219" w:leftChars="-43" w:hanging="309" w:hangingChars="150"/>
              <w:rPr>
                <w:rFonts w:hint="eastAsia" w:ascii="宋体" w:hAnsi="宋体"/>
                <w:color w:val="000000"/>
                <w:spacing w:val="-2"/>
                <w:kern w:val="0"/>
                <w:szCs w:val="25"/>
              </w:rPr>
            </w:pPr>
            <w:r>
              <w:rPr>
                <w:rFonts w:hint="eastAsia" w:ascii="宋体" w:hAnsi="宋体"/>
                <w:color w:val="000000"/>
                <w:spacing w:val="-2"/>
                <w:kern w:val="0"/>
                <w:szCs w:val="25"/>
              </w:rPr>
              <w:t>3．各有关学院收集学生申报学位所需的职业资格证书、各类获奖等材料，录入教务系统，并将奖状、资格证书等原件材料报到学籍科核实备查；</w:t>
            </w:r>
          </w:p>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4.开设“双学士学位”教育的学院教学秘书对“双学士学位”教育课程成绩进行录入和检查。</w:t>
            </w:r>
          </w:p>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5.学籍管理科进行毕业生预审，打印毕业生预审表放给各学院，由各学院核查学生毕业情况。</w:t>
            </w:r>
          </w:p>
        </w:tc>
      </w:tr>
      <w:tr>
        <w:tblPrEx>
          <w:tblCellMar>
            <w:top w:w="0" w:type="dxa"/>
            <w:left w:w="108" w:type="dxa"/>
            <w:bottom w:w="0" w:type="dxa"/>
            <w:right w:w="108" w:type="dxa"/>
          </w:tblCellMar>
        </w:tblPrEx>
        <w:trPr>
          <w:trHeight w:val="1335" w:hRule="atLeast"/>
        </w:trPr>
        <w:tc>
          <w:tcPr>
            <w:tcW w:w="828"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color w:val="000000"/>
              </w:rPr>
            </w:pPr>
            <w:r>
              <w:rPr>
                <w:rFonts w:hint="eastAsia"/>
                <w:color w:val="000000"/>
              </w:rPr>
              <w:t>5</w:t>
            </w:r>
            <w:r>
              <w:rPr>
                <w:color w:val="000000"/>
              </w:rPr>
              <w:t>-</w:t>
            </w:r>
            <w:r>
              <w:rPr>
                <w:rFonts w:hint="eastAsia"/>
                <w:color w:val="000000"/>
              </w:rPr>
              <w:t>6</w:t>
            </w:r>
          </w:p>
        </w:tc>
        <w:tc>
          <w:tcPr>
            <w:tcW w:w="1080" w:type="dxa"/>
            <w:tcBorders>
              <w:top w:val="single" w:color="auto" w:sz="6" w:space="0"/>
              <w:left w:val="single" w:color="auto" w:sz="6" w:space="0"/>
              <w:bottom w:val="single" w:color="auto" w:sz="4" w:space="0"/>
              <w:right w:val="single" w:color="auto" w:sz="6" w:space="0"/>
            </w:tcBorders>
            <w:vAlign w:val="center"/>
          </w:tcPr>
          <w:p>
            <w:pPr>
              <w:spacing w:line="300" w:lineRule="exact"/>
              <w:rPr>
                <w:rFonts w:hint="eastAsia"/>
                <w:color w:val="000000"/>
              </w:rPr>
            </w:pPr>
            <w:r>
              <w:rPr>
                <w:rFonts w:hint="eastAsia"/>
                <w:color w:val="000000"/>
              </w:rPr>
              <w:t>3.27-4. 09</w:t>
            </w:r>
          </w:p>
        </w:tc>
        <w:tc>
          <w:tcPr>
            <w:tcW w:w="9180" w:type="dxa"/>
            <w:tcBorders>
              <w:top w:val="single" w:color="auto" w:sz="6" w:space="0"/>
              <w:left w:val="single" w:color="auto" w:sz="6" w:space="0"/>
              <w:bottom w:val="single" w:color="auto" w:sz="4" w:space="0"/>
              <w:right w:val="single" w:color="auto" w:sz="6" w:space="0"/>
            </w:tcBorders>
            <w:vAlign w:val="top"/>
          </w:tcPr>
          <w:p>
            <w:pPr>
              <w:spacing w:line="300" w:lineRule="exact"/>
              <w:ind w:left="219" w:leftChars="-43" w:hanging="309" w:hangingChars="150"/>
              <w:rPr>
                <w:rFonts w:hint="eastAsia" w:ascii="宋体" w:hAnsi="宋体"/>
                <w:color w:val="000000"/>
                <w:spacing w:val="-2"/>
                <w:kern w:val="0"/>
                <w:szCs w:val="25"/>
              </w:rPr>
            </w:pPr>
            <w:r>
              <w:rPr>
                <w:rFonts w:hint="eastAsia" w:ascii="宋体" w:hAnsi="宋体"/>
                <w:color w:val="000000"/>
                <w:spacing w:val="-2"/>
                <w:kern w:val="0"/>
                <w:szCs w:val="25"/>
              </w:rPr>
              <w:t>1．各学院辅导员组织毕业生进入教务管理系统网页端检查个人参加全国大学英语四级成绩、全国英语应用能力测试成绩是否有误；</w:t>
            </w:r>
          </w:p>
          <w:p>
            <w:pPr>
              <w:spacing w:line="300" w:lineRule="exact"/>
              <w:ind w:left="219" w:leftChars="-43" w:hanging="309" w:hangingChars="150"/>
              <w:rPr>
                <w:rFonts w:hint="eastAsia" w:ascii="宋体" w:hAnsi="宋体"/>
                <w:color w:val="000000"/>
                <w:spacing w:val="-2"/>
                <w:kern w:val="0"/>
                <w:szCs w:val="25"/>
              </w:rPr>
            </w:pPr>
            <w:r>
              <w:rPr>
                <w:rFonts w:hint="eastAsia" w:ascii="宋体" w:hAnsi="宋体"/>
                <w:color w:val="000000"/>
                <w:spacing w:val="-2"/>
                <w:kern w:val="0"/>
                <w:szCs w:val="25"/>
              </w:rPr>
              <w:t>2．专升本学生如在校期间未参加大学英语四级（三级）考试，但在专科学校期间参加上述考试并获得合格以上证书的，按学籍科提供的格式录入，以专业为单位将证书原件交学籍管理科审核；</w:t>
            </w:r>
          </w:p>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3．各学院教学秘书检查毕业班学生入学以来所有学期成绩是否还有错漏。</w:t>
            </w:r>
          </w:p>
        </w:tc>
      </w:tr>
      <w:tr>
        <w:tblPrEx>
          <w:tblCellMar>
            <w:top w:w="0" w:type="dxa"/>
            <w:left w:w="108" w:type="dxa"/>
            <w:bottom w:w="0" w:type="dxa"/>
            <w:right w:w="108" w:type="dxa"/>
          </w:tblCellMar>
        </w:tblPrEx>
        <w:trPr>
          <w:trHeight w:val="607" w:hRule="atLeast"/>
        </w:trPr>
        <w:tc>
          <w:tcPr>
            <w:tcW w:w="828"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hint="eastAsia"/>
                <w:color w:val="000000"/>
              </w:rPr>
            </w:pPr>
            <w:r>
              <w:rPr>
                <w:rFonts w:hint="eastAsia"/>
                <w:color w:val="000000"/>
              </w:rPr>
              <w:t>7-8</w:t>
            </w:r>
          </w:p>
        </w:tc>
        <w:tc>
          <w:tcPr>
            <w:tcW w:w="1080" w:type="dxa"/>
            <w:tcBorders>
              <w:top w:val="single" w:color="auto" w:sz="4" w:space="0"/>
              <w:left w:val="single" w:color="auto" w:sz="6" w:space="0"/>
              <w:bottom w:val="single" w:color="auto" w:sz="6" w:space="0"/>
              <w:right w:val="single" w:color="auto" w:sz="6" w:space="0"/>
            </w:tcBorders>
            <w:vAlign w:val="center"/>
          </w:tcPr>
          <w:p>
            <w:pPr>
              <w:spacing w:line="300" w:lineRule="exact"/>
              <w:rPr>
                <w:rFonts w:hint="eastAsia"/>
                <w:color w:val="000000"/>
              </w:rPr>
            </w:pPr>
            <w:r>
              <w:rPr>
                <w:rFonts w:hint="eastAsia"/>
                <w:color w:val="000000"/>
              </w:rPr>
              <w:t>4.10</w:t>
            </w:r>
            <w:r>
              <w:rPr>
                <w:color w:val="000000"/>
              </w:rPr>
              <w:t>-</w:t>
            </w:r>
            <w:r>
              <w:rPr>
                <w:rFonts w:hint="eastAsia"/>
                <w:color w:val="000000"/>
              </w:rPr>
              <w:t>4.23</w:t>
            </w:r>
          </w:p>
        </w:tc>
        <w:tc>
          <w:tcPr>
            <w:tcW w:w="9180" w:type="dxa"/>
            <w:tcBorders>
              <w:top w:val="single" w:color="auto" w:sz="4" w:space="0"/>
              <w:left w:val="single" w:color="auto" w:sz="6" w:space="0"/>
              <w:bottom w:val="single" w:color="auto" w:sz="6" w:space="0"/>
              <w:right w:val="single" w:color="auto" w:sz="6" w:space="0"/>
            </w:tcBorders>
            <w:vAlign w:val="top"/>
          </w:tcPr>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1．学籍管理科汇总毕业班受处分学生名单；</w:t>
            </w:r>
          </w:p>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2．毕业班学生成绩有错漏的需要修改或者学分需要转换的，由教学秘书到学籍管理科更正；</w:t>
            </w:r>
          </w:p>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3． 各学院派学生到学校档案馆整理2017届学生毕业照片（按每专业派3人）。</w:t>
            </w:r>
          </w:p>
        </w:tc>
      </w:tr>
      <w:tr>
        <w:tblPrEx>
          <w:tblCellMar>
            <w:top w:w="0" w:type="dxa"/>
            <w:left w:w="108" w:type="dxa"/>
            <w:bottom w:w="0" w:type="dxa"/>
            <w:right w:w="108" w:type="dxa"/>
          </w:tblCellMar>
        </w:tblPrEx>
        <w:trPr>
          <w:trHeight w:val="809" w:hRule="atLeast"/>
        </w:trPr>
        <w:tc>
          <w:tcPr>
            <w:tcW w:w="828" w:type="dxa"/>
            <w:tcBorders>
              <w:top w:val="single" w:color="auto" w:sz="6" w:space="0"/>
              <w:left w:val="single" w:color="auto" w:sz="6" w:space="0"/>
              <w:right w:val="single" w:color="auto" w:sz="6" w:space="0"/>
            </w:tcBorders>
            <w:vAlign w:val="center"/>
          </w:tcPr>
          <w:p>
            <w:pPr>
              <w:spacing w:line="300" w:lineRule="exact"/>
              <w:jc w:val="center"/>
              <w:rPr>
                <w:rFonts w:hint="eastAsia"/>
                <w:color w:val="000000"/>
              </w:rPr>
            </w:pPr>
            <w:r>
              <w:rPr>
                <w:rFonts w:hint="eastAsia"/>
                <w:color w:val="000000"/>
              </w:rPr>
              <w:t>9-10</w:t>
            </w:r>
          </w:p>
        </w:tc>
        <w:tc>
          <w:tcPr>
            <w:tcW w:w="1080" w:type="dxa"/>
            <w:tcBorders>
              <w:top w:val="single" w:color="auto" w:sz="6" w:space="0"/>
              <w:left w:val="single" w:color="auto" w:sz="6" w:space="0"/>
              <w:right w:val="single" w:color="auto" w:sz="6" w:space="0"/>
            </w:tcBorders>
            <w:vAlign w:val="center"/>
          </w:tcPr>
          <w:p>
            <w:pPr>
              <w:spacing w:line="300" w:lineRule="exact"/>
              <w:rPr>
                <w:rFonts w:hint="eastAsia"/>
                <w:color w:val="000000"/>
              </w:rPr>
            </w:pPr>
            <w:r>
              <w:rPr>
                <w:rFonts w:hint="eastAsia"/>
                <w:color w:val="000000"/>
              </w:rPr>
              <w:t>4.24-5.07</w:t>
            </w:r>
          </w:p>
        </w:tc>
        <w:tc>
          <w:tcPr>
            <w:tcW w:w="9180" w:type="dxa"/>
            <w:tcBorders>
              <w:top w:val="single" w:color="auto" w:sz="6" w:space="0"/>
              <w:left w:val="single" w:color="auto" w:sz="6" w:space="0"/>
              <w:right w:val="single" w:color="auto" w:sz="6" w:space="0"/>
            </w:tcBorders>
            <w:vAlign w:val="top"/>
          </w:tcPr>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 xml:space="preserve">1．各学院填报毕业学期本科毕业班期未考试日程表，交教务科安排考试地点；                              </w:t>
            </w:r>
          </w:p>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2．学籍管理科整理、审核毕业生电子数据,完善毕业生毕业电子注册事项；</w:t>
            </w:r>
          </w:p>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3. 举行本科班毕业学期期末考试。</w:t>
            </w:r>
          </w:p>
        </w:tc>
      </w:tr>
      <w:tr>
        <w:tblPrEx>
          <w:tblCellMar>
            <w:top w:w="0" w:type="dxa"/>
            <w:left w:w="108" w:type="dxa"/>
            <w:bottom w:w="0" w:type="dxa"/>
            <w:right w:w="108" w:type="dxa"/>
          </w:tblCellMar>
        </w:tblPrEx>
        <w:trPr>
          <w:trHeight w:val="285" w:hRule="atLeast"/>
        </w:trPr>
        <w:tc>
          <w:tcPr>
            <w:tcW w:w="828"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hint="eastAsia"/>
                <w:color w:val="000000"/>
              </w:rPr>
            </w:pPr>
            <w:r>
              <w:rPr>
                <w:rFonts w:hint="eastAsia"/>
                <w:color w:val="000000"/>
              </w:rPr>
              <w:t>11-12</w:t>
            </w:r>
          </w:p>
        </w:tc>
        <w:tc>
          <w:tcPr>
            <w:tcW w:w="1080" w:type="dxa"/>
            <w:tcBorders>
              <w:top w:val="single" w:color="auto" w:sz="4" w:space="0"/>
              <w:left w:val="single" w:color="auto" w:sz="6" w:space="0"/>
              <w:bottom w:val="single" w:color="auto" w:sz="6" w:space="0"/>
              <w:right w:val="single" w:color="auto" w:sz="6" w:space="0"/>
            </w:tcBorders>
            <w:vAlign w:val="center"/>
          </w:tcPr>
          <w:p>
            <w:pPr>
              <w:spacing w:line="300" w:lineRule="exact"/>
              <w:rPr>
                <w:rFonts w:hint="eastAsia"/>
                <w:color w:val="000000"/>
              </w:rPr>
            </w:pPr>
            <w:r>
              <w:rPr>
                <w:rFonts w:hint="eastAsia"/>
                <w:color w:val="000000"/>
              </w:rPr>
              <w:t>5.08-5.21</w:t>
            </w:r>
          </w:p>
        </w:tc>
        <w:tc>
          <w:tcPr>
            <w:tcW w:w="9180" w:type="dxa"/>
            <w:tcBorders>
              <w:top w:val="single" w:color="auto" w:sz="4" w:space="0"/>
              <w:left w:val="single" w:color="auto" w:sz="6" w:space="0"/>
              <w:bottom w:val="single" w:color="auto" w:sz="6" w:space="0"/>
              <w:right w:val="single" w:color="auto" w:sz="6" w:space="0"/>
            </w:tcBorders>
            <w:vAlign w:val="top"/>
          </w:tcPr>
          <w:p>
            <w:pPr>
              <w:spacing w:line="300" w:lineRule="exact"/>
              <w:ind w:leftChars="-51" w:hanging="107" w:hangingChars="52"/>
              <w:rPr>
                <w:rFonts w:hint="eastAsia" w:ascii="宋体" w:hAnsi="宋体"/>
                <w:color w:val="000000"/>
                <w:spacing w:val="-2"/>
                <w:kern w:val="0"/>
                <w:szCs w:val="25"/>
              </w:rPr>
            </w:pPr>
            <w:r>
              <w:rPr>
                <w:rFonts w:hint="eastAsia" w:ascii="宋体" w:hAnsi="宋体"/>
                <w:color w:val="000000"/>
                <w:spacing w:val="-2"/>
                <w:kern w:val="0"/>
                <w:szCs w:val="25"/>
              </w:rPr>
              <w:t>1．各学院完成毕业班毕业学期期末成绩考试录入,并将成绩单报送学籍管理科确认；</w:t>
            </w:r>
          </w:p>
          <w:p>
            <w:pPr>
              <w:spacing w:line="300" w:lineRule="exact"/>
              <w:ind w:leftChars="-51" w:hanging="107" w:hangingChars="52"/>
              <w:rPr>
                <w:rFonts w:hint="eastAsia" w:ascii="宋体" w:hAnsi="宋体"/>
                <w:color w:val="000000"/>
                <w:spacing w:val="-2"/>
                <w:kern w:val="0"/>
                <w:szCs w:val="25"/>
              </w:rPr>
            </w:pPr>
            <w:r>
              <w:rPr>
                <w:rFonts w:hint="eastAsia" w:ascii="宋体" w:hAnsi="宋体"/>
                <w:color w:val="000000"/>
                <w:spacing w:val="-2"/>
                <w:kern w:val="0"/>
                <w:szCs w:val="25"/>
              </w:rPr>
              <w:t>2．学籍管理科处理毕业班成绩库，检查2015-2016学年下学期毕业生期</w:t>
            </w:r>
            <w:r>
              <w:rPr>
                <w:rFonts w:hint="eastAsia" w:ascii="宋体" w:hAnsi="宋体"/>
                <w:color w:val="000000"/>
                <w:spacing w:val="-2"/>
                <w:kern w:val="0"/>
                <w:szCs w:val="25"/>
                <w:lang w:val="en-US" w:eastAsia="zh-CN"/>
              </w:rPr>
              <w:t>末</w:t>
            </w:r>
            <w:r>
              <w:rPr>
                <w:rFonts w:hint="eastAsia" w:ascii="宋体" w:hAnsi="宋体"/>
                <w:color w:val="000000"/>
                <w:spacing w:val="-2"/>
                <w:kern w:val="0"/>
                <w:szCs w:val="25"/>
              </w:rPr>
              <w:t>考试成绩输入情况；</w:t>
            </w:r>
          </w:p>
          <w:p>
            <w:pPr>
              <w:spacing w:line="300" w:lineRule="exact"/>
              <w:ind w:leftChars="-51" w:hanging="107" w:hangingChars="52"/>
              <w:rPr>
                <w:rFonts w:hint="eastAsia" w:ascii="宋体" w:hAnsi="宋体"/>
                <w:color w:val="000000"/>
                <w:spacing w:val="-2"/>
                <w:kern w:val="0"/>
                <w:szCs w:val="25"/>
              </w:rPr>
            </w:pPr>
            <w:r>
              <w:rPr>
                <w:rFonts w:hint="eastAsia" w:ascii="宋体" w:hAnsi="宋体"/>
                <w:color w:val="000000"/>
                <w:spacing w:val="-2"/>
                <w:kern w:val="0"/>
                <w:szCs w:val="25"/>
              </w:rPr>
              <w:t>3. 各学院受理2017届毕业生因在校期间受记过以上处分未获得学位学生的学位申请材料，同时核查201</w:t>
            </w:r>
            <w:r>
              <w:rPr>
                <w:rFonts w:hint="eastAsia" w:ascii="宋体" w:hAnsi="宋体"/>
                <w:color w:val="000000"/>
                <w:spacing w:val="-2"/>
                <w:kern w:val="0"/>
                <w:szCs w:val="25"/>
                <w:lang w:val="en-US" w:eastAsia="zh-CN"/>
              </w:rPr>
              <w:t>6</w:t>
            </w:r>
            <w:r>
              <w:rPr>
                <w:rFonts w:hint="eastAsia" w:ascii="宋体" w:hAnsi="宋体"/>
                <w:color w:val="000000"/>
                <w:spacing w:val="-2"/>
                <w:kern w:val="0"/>
                <w:szCs w:val="25"/>
              </w:rPr>
              <w:t>届未获得学位学生的学位补授予材料，汇总后统一报送教务处学籍管理科；</w:t>
            </w:r>
          </w:p>
        </w:tc>
      </w:tr>
      <w:tr>
        <w:tblPrEx>
          <w:tblCellMar>
            <w:top w:w="0" w:type="dxa"/>
            <w:left w:w="108" w:type="dxa"/>
            <w:bottom w:w="0" w:type="dxa"/>
            <w:right w:w="108" w:type="dxa"/>
          </w:tblCellMar>
        </w:tblPrEx>
        <w:trPr>
          <w:trHeight w:val="285" w:hRule="atLeast"/>
        </w:trPr>
        <w:tc>
          <w:tcPr>
            <w:tcW w:w="828"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hint="eastAsia"/>
                <w:color w:val="000000"/>
              </w:rPr>
            </w:pPr>
            <w:r>
              <w:rPr>
                <w:rFonts w:hint="eastAsia"/>
                <w:color w:val="000000"/>
              </w:rPr>
              <w:t>13</w:t>
            </w:r>
          </w:p>
        </w:tc>
        <w:tc>
          <w:tcPr>
            <w:tcW w:w="1080" w:type="dxa"/>
            <w:tcBorders>
              <w:top w:val="single" w:color="auto" w:sz="4" w:space="0"/>
              <w:left w:val="single" w:color="auto" w:sz="6" w:space="0"/>
              <w:bottom w:val="single" w:color="auto" w:sz="6" w:space="0"/>
              <w:right w:val="single" w:color="auto" w:sz="6" w:space="0"/>
            </w:tcBorders>
            <w:vAlign w:val="center"/>
          </w:tcPr>
          <w:p>
            <w:pPr>
              <w:spacing w:line="300" w:lineRule="exact"/>
              <w:rPr>
                <w:rFonts w:hint="eastAsia"/>
                <w:color w:val="000000"/>
              </w:rPr>
            </w:pPr>
            <w:r>
              <w:rPr>
                <w:rFonts w:hint="eastAsia"/>
                <w:color w:val="000000"/>
              </w:rPr>
              <w:t>5.22-5.28</w:t>
            </w:r>
          </w:p>
        </w:tc>
        <w:tc>
          <w:tcPr>
            <w:tcW w:w="9180" w:type="dxa"/>
            <w:tcBorders>
              <w:top w:val="single" w:color="auto" w:sz="4" w:space="0"/>
              <w:left w:val="single" w:color="auto" w:sz="6" w:space="0"/>
              <w:bottom w:val="single" w:color="auto" w:sz="6" w:space="0"/>
              <w:right w:val="single" w:color="auto" w:sz="6" w:space="0"/>
            </w:tcBorders>
            <w:vAlign w:val="top"/>
          </w:tcPr>
          <w:p>
            <w:pPr>
              <w:spacing w:line="300" w:lineRule="exact"/>
              <w:ind w:left="-90" w:leftChars="-43"/>
              <w:rPr>
                <w:rFonts w:hint="eastAsia" w:ascii="宋体" w:hAnsi="宋体"/>
                <w:color w:val="000000"/>
                <w:spacing w:val="-2"/>
                <w:kern w:val="0"/>
                <w:szCs w:val="25"/>
              </w:rPr>
            </w:pPr>
            <w:r>
              <w:rPr>
                <w:rFonts w:hint="eastAsia" w:ascii="宋体" w:hAnsi="宋体"/>
                <w:color w:val="000000"/>
                <w:spacing w:val="-2"/>
                <w:kern w:val="0"/>
                <w:szCs w:val="25"/>
              </w:rPr>
              <w:t>1．各学院完成毕业论文成绩工作，并于5月23日前在教务管理系统中完成毕业论文成绩上报；</w:t>
            </w:r>
          </w:p>
          <w:p>
            <w:pPr>
              <w:spacing w:line="300" w:lineRule="exact"/>
              <w:ind w:left="206" w:leftChars="-51" w:hanging="313" w:hangingChars="152"/>
              <w:rPr>
                <w:rFonts w:hint="eastAsia" w:ascii="宋体" w:hAnsi="宋体"/>
                <w:color w:val="000000"/>
                <w:spacing w:val="-2"/>
                <w:kern w:val="0"/>
                <w:szCs w:val="25"/>
              </w:rPr>
            </w:pPr>
            <w:r>
              <w:rPr>
                <w:rFonts w:hint="eastAsia" w:ascii="宋体" w:hAnsi="宋体"/>
                <w:color w:val="000000"/>
                <w:spacing w:val="-2"/>
                <w:kern w:val="0"/>
                <w:szCs w:val="25"/>
              </w:rPr>
              <w:t>2. 教务处开始进行毕业审核和学位预审（包括双学士学位教育），打印出 《学士学位评定情况表》及有关学位评定材料，并发放各学院学位分委会初步评定。</w:t>
            </w:r>
          </w:p>
          <w:p>
            <w:pPr>
              <w:spacing w:line="300" w:lineRule="exact"/>
              <w:ind w:leftChars="-51" w:hanging="107" w:hangingChars="52"/>
              <w:rPr>
                <w:rFonts w:hint="eastAsia" w:ascii="宋体" w:hAnsi="宋体"/>
                <w:color w:val="000000"/>
                <w:spacing w:val="-2"/>
                <w:kern w:val="0"/>
                <w:szCs w:val="25"/>
              </w:rPr>
            </w:pPr>
            <w:r>
              <w:rPr>
                <w:rFonts w:hint="eastAsia" w:ascii="宋体" w:hAnsi="宋体"/>
                <w:color w:val="000000"/>
                <w:spacing w:val="-2"/>
                <w:kern w:val="0"/>
                <w:szCs w:val="25"/>
              </w:rPr>
              <w:t>3. 办理双学位教育的学院派学生到学籍管理科打印并整理2017届“双学士学位”存档成绩卡。</w:t>
            </w:r>
          </w:p>
        </w:tc>
      </w:tr>
      <w:tr>
        <w:tblPrEx>
          <w:tblCellMar>
            <w:top w:w="0" w:type="dxa"/>
            <w:left w:w="108" w:type="dxa"/>
            <w:bottom w:w="0" w:type="dxa"/>
            <w:right w:w="108" w:type="dxa"/>
          </w:tblCellMar>
        </w:tblPrEx>
        <w:trPr>
          <w:trHeight w:val="990" w:hRule="atLeast"/>
        </w:trPr>
        <w:tc>
          <w:tcPr>
            <w:tcW w:w="828"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hint="eastAsia"/>
                <w:color w:val="000000"/>
              </w:rPr>
            </w:pPr>
            <w:r>
              <w:rPr>
                <w:rFonts w:hint="eastAsia"/>
                <w:color w:val="000000"/>
              </w:rPr>
              <w:t>14</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rPr>
                <w:rFonts w:hint="eastAsia"/>
                <w:color w:val="000000"/>
              </w:rPr>
            </w:pPr>
            <w:r>
              <w:rPr>
                <w:rFonts w:hint="eastAsia"/>
                <w:color w:val="000000"/>
              </w:rPr>
              <w:t>5.29-6.04</w:t>
            </w:r>
          </w:p>
        </w:tc>
        <w:tc>
          <w:tcPr>
            <w:tcW w:w="9180" w:type="dxa"/>
            <w:tcBorders>
              <w:top w:val="single" w:color="auto" w:sz="6" w:space="0"/>
              <w:left w:val="single" w:color="auto" w:sz="6" w:space="0"/>
              <w:bottom w:val="single" w:color="auto" w:sz="6" w:space="0"/>
              <w:right w:val="single" w:color="auto" w:sz="6" w:space="0"/>
            </w:tcBorders>
            <w:vAlign w:val="top"/>
          </w:tcPr>
          <w:p>
            <w:pPr>
              <w:spacing w:line="300" w:lineRule="exact"/>
              <w:ind w:left="-90"/>
              <w:rPr>
                <w:rFonts w:ascii="宋体" w:hAnsi="宋体"/>
                <w:color w:val="000000"/>
                <w:spacing w:val="-2"/>
                <w:kern w:val="0"/>
                <w:szCs w:val="25"/>
              </w:rPr>
            </w:pPr>
            <w:r>
              <w:rPr>
                <w:rFonts w:ascii="宋体" w:hAnsi="宋体"/>
                <w:color w:val="000000"/>
                <w:spacing w:val="-2"/>
                <w:kern w:val="0"/>
                <w:szCs w:val="25"/>
              </w:rPr>
              <w:t>1</w:t>
            </w:r>
            <w:r>
              <w:rPr>
                <w:rFonts w:hint="eastAsia" w:ascii="宋体" w:hAnsi="宋体"/>
                <w:color w:val="000000"/>
                <w:spacing w:val="-2"/>
                <w:kern w:val="0"/>
                <w:szCs w:val="25"/>
              </w:rPr>
              <w:t>．学籍管理科收集各学院学位分委会初步评定学士学位《学士学位评定情况表》有关学位材料；</w:t>
            </w:r>
          </w:p>
          <w:p>
            <w:pPr>
              <w:spacing w:line="300" w:lineRule="exact"/>
              <w:ind w:left="-90"/>
              <w:rPr>
                <w:rFonts w:hint="eastAsia" w:ascii="宋体" w:hAnsi="宋体"/>
                <w:color w:val="000000"/>
                <w:spacing w:val="-2"/>
                <w:kern w:val="0"/>
                <w:szCs w:val="25"/>
              </w:rPr>
            </w:pPr>
            <w:r>
              <w:rPr>
                <w:rFonts w:ascii="宋体" w:hAnsi="宋体"/>
                <w:color w:val="000000"/>
                <w:spacing w:val="-2"/>
                <w:kern w:val="0"/>
                <w:szCs w:val="25"/>
              </w:rPr>
              <w:t>2</w:t>
            </w:r>
            <w:r>
              <w:rPr>
                <w:rFonts w:hint="eastAsia" w:ascii="宋体" w:hAnsi="宋体"/>
                <w:color w:val="000000"/>
                <w:spacing w:val="-2"/>
                <w:kern w:val="0"/>
                <w:szCs w:val="25"/>
              </w:rPr>
              <w:t>．未按期毕业学生填写延期毕业申请表，交所在学院审核后汇总报教务处。</w:t>
            </w:r>
          </w:p>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3. 各学院派学生到学籍管理科打印并整理2017届本科生毕业存档成绩卡（按每专业派2人）。</w:t>
            </w:r>
          </w:p>
        </w:tc>
      </w:tr>
      <w:tr>
        <w:tblPrEx>
          <w:tblCellMar>
            <w:top w:w="0" w:type="dxa"/>
            <w:left w:w="108" w:type="dxa"/>
            <w:bottom w:w="0" w:type="dxa"/>
            <w:right w:w="108" w:type="dxa"/>
          </w:tblCellMar>
        </w:tblPrEx>
        <w:trPr>
          <w:trHeight w:val="639" w:hRule="atLeast"/>
        </w:trPr>
        <w:tc>
          <w:tcPr>
            <w:tcW w:w="828"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color w:val="000000"/>
              </w:rPr>
            </w:pPr>
            <w:r>
              <w:rPr>
                <w:rFonts w:hint="eastAsia"/>
                <w:color w:val="000000"/>
              </w:rPr>
              <w:t>15</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000000"/>
              </w:rPr>
            </w:pPr>
            <w:r>
              <w:rPr>
                <w:rFonts w:hint="eastAsia"/>
                <w:color w:val="000000"/>
              </w:rPr>
              <w:t>6.05</w:t>
            </w:r>
            <w:r>
              <w:rPr>
                <w:color w:val="000000"/>
              </w:rPr>
              <w:t>-</w:t>
            </w:r>
            <w:r>
              <w:rPr>
                <w:rFonts w:hint="eastAsia"/>
                <w:color w:val="000000"/>
              </w:rPr>
              <w:t>6.11</w:t>
            </w:r>
          </w:p>
        </w:tc>
        <w:tc>
          <w:tcPr>
            <w:tcW w:w="9180" w:type="dxa"/>
            <w:tcBorders>
              <w:top w:val="single" w:color="auto" w:sz="6" w:space="0"/>
              <w:left w:val="single" w:color="auto" w:sz="6" w:space="0"/>
              <w:bottom w:val="single" w:color="auto" w:sz="6" w:space="0"/>
              <w:right w:val="single" w:color="auto" w:sz="6" w:space="0"/>
            </w:tcBorders>
            <w:vAlign w:val="top"/>
          </w:tcPr>
          <w:p>
            <w:pPr>
              <w:spacing w:line="300" w:lineRule="exact"/>
              <w:ind w:leftChars="-51" w:hanging="107" w:hangingChars="52"/>
              <w:rPr>
                <w:rFonts w:hint="eastAsia" w:ascii="宋体" w:hAnsi="宋体"/>
                <w:color w:val="000000"/>
                <w:spacing w:val="-2"/>
                <w:kern w:val="0"/>
                <w:szCs w:val="25"/>
              </w:rPr>
            </w:pPr>
            <w:r>
              <w:rPr>
                <w:rFonts w:hint="eastAsia" w:ascii="宋体" w:hAnsi="宋体"/>
                <w:color w:val="000000"/>
                <w:spacing w:val="-2"/>
                <w:kern w:val="0"/>
                <w:szCs w:val="25"/>
              </w:rPr>
              <w:t>1．学籍管理科整理学位评定各项材料；</w:t>
            </w:r>
          </w:p>
          <w:p>
            <w:pPr>
              <w:spacing w:line="300" w:lineRule="exact"/>
              <w:ind w:leftChars="-51" w:hanging="107" w:hangingChars="52"/>
              <w:rPr>
                <w:rFonts w:hint="eastAsia" w:ascii="宋体" w:hAnsi="宋体"/>
                <w:color w:val="000000"/>
                <w:spacing w:val="-2"/>
                <w:kern w:val="0"/>
                <w:szCs w:val="25"/>
              </w:rPr>
            </w:pPr>
            <w:r>
              <w:rPr>
                <w:rFonts w:hint="eastAsia" w:ascii="宋体" w:hAnsi="宋体"/>
                <w:color w:val="000000"/>
                <w:spacing w:val="-2"/>
                <w:kern w:val="0"/>
                <w:szCs w:val="25"/>
              </w:rPr>
              <w:t>2．学籍管理科将有关学位评定材料呈送校学位委员会；</w:t>
            </w:r>
          </w:p>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3．校学位评定委员会召开会议</w:t>
            </w:r>
            <w:r>
              <w:rPr>
                <w:rFonts w:ascii="宋体" w:hAnsi="宋体"/>
                <w:color w:val="000000"/>
                <w:spacing w:val="-2"/>
                <w:kern w:val="0"/>
                <w:szCs w:val="25"/>
              </w:rPr>
              <w:t>(</w:t>
            </w:r>
            <w:r>
              <w:rPr>
                <w:rFonts w:hint="eastAsia" w:ascii="宋体" w:hAnsi="宋体"/>
                <w:color w:val="000000"/>
                <w:spacing w:val="-2"/>
                <w:kern w:val="0"/>
                <w:szCs w:val="25"/>
              </w:rPr>
              <w:t>具体时间由校学位办另行通知</w:t>
            </w:r>
            <w:r>
              <w:rPr>
                <w:rFonts w:ascii="宋体" w:hAnsi="宋体"/>
                <w:color w:val="000000"/>
                <w:spacing w:val="-2"/>
                <w:kern w:val="0"/>
                <w:szCs w:val="25"/>
              </w:rPr>
              <w:t>)</w:t>
            </w:r>
            <w:r>
              <w:rPr>
                <w:rFonts w:hint="eastAsia" w:ascii="宋体" w:hAnsi="宋体"/>
                <w:color w:val="000000"/>
                <w:spacing w:val="-2"/>
                <w:kern w:val="0"/>
                <w:szCs w:val="25"/>
              </w:rPr>
              <w:t>；</w:t>
            </w:r>
          </w:p>
          <w:p>
            <w:pPr>
              <w:spacing w:line="300" w:lineRule="exact"/>
              <w:ind w:left="-90"/>
              <w:rPr>
                <w:rFonts w:ascii="宋体" w:hAnsi="宋体"/>
                <w:color w:val="000000"/>
                <w:szCs w:val="25"/>
              </w:rPr>
            </w:pPr>
            <w:r>
              <w:rPr>
                <w:rFonts w:hint="eastAsia" w:ascii="宋体" w:hAnsi="宋体"/>
                <w:color w:val="000000"/>
                <w:spacing w:val="-2"/>
                <w:kern w:val="0"/>
                <w:szCs w:val="25"/>
              </w:rPr>
              <w:t>3. 各学院派学生到学籍管理科打印并整理2017届本科生毕业存档成绩卡（按每专业派2人）。</w:t>
            </w:r>
          </w:p>
        </w:tc>
      </w:tr>
      <w:tr>
        <w:tblPrEx>
          <w:tblCellMar>
            <w:top w:w="0" w:type="dxa"/>
            <w:left w:w="108" w:type="dxa"/>
            <w:bottom w:w="0" w:type="dxa"/>
            <w:right w:w="108" w:type="dxa"/>
          </w:tblCellMar>
        </w:tblPrEx>
        <w:trPr>
          <w:trHeight w:val="606" w:hRule="atLeast"/>
        </w:trPr>
        <w:tc>
          <w:tcPr>
            <w:tcW w:w="828"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color w:val="000000"/>
              </w:rPr>
            </w:pPr>
            <w:r>
              <w:rPr>
                <w:rFonts w:hint="eastAsia"/>
                <w:color w:val="000000"/>
              </w:rPr>
              <w:t>16-17</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000000"/>
              </w:rPr>
            </w:pPr>
            <w:r>
              <w:rPr>
                <w:rFonts w:hint="eastAsia"/>
                <w:color w:val="000000"/>
              </w:rPr>
              <w:t>6.12-6.25</w:t>
            </w:r>
          </w:p>
        </w:tc>
        <w:tc>
          <w:tcPr>
            <w:tcW w:w="9180" w:type="dxa"/>
            <w:tcBorders>
              <w:top w:val="single" w:color="auto" w:sz="6" w:space="0"/>
              <w:left w:val="single" w:color="auto" w:sz="6" w:space="0"/>
              <w:bottom w:val="single" w:color="auto" w:sz="6" w:space="0"/>
              <w:right w:val="single" w:color="auto" w:sz="6" w:space="0"/>
            </w:tcBorders>
            <w:vAlign w:val="top"/>
          </w:tcPr>
          <w:p>
            <w:pPr>
              <w:spacing w:line="300" w:lineRule="exact"/>
              <w:ind w:left="-107" w:leftChars="-51"/>
              <w:rPr>
                <w:rFonts w:hint="eastAsia" w:ascii="宋体" w:hAnsi="宋体"/>
                <w:color w:val="000000"/>
                <w:spacing w:val="-2"/>
                <w:kern w:val="0"/>
                <w:szCs w:val="25"/>
              </w:rPr>
            </w:pPr>
            <w:r>
              <w:rPr>
                <w:rFonts w:ascii="宋体" w:hAnsi="宋体"/>
                <w:color w:val="000000"/>
                <w:spacing w:val="-2"/>
                <w:kern w:val="0"/>
                <w:szCs w:val="25"/>
              </w:rPr>
              <w:t>1</w:t>
            </w:r>
            <w:r>
              <w:rPr>
                <w:rFonts w:hint="eastAsia" w:ascii="宋体" w:hAnsi="宋体"/>
                <w:color w:val="000000"/>
                <w:spacing w:val="-2"/>
                <w:kern w:val="0"/>
                <w:szCs w:val="25"/>
              </w:rPr>
              <w:t>．学籍管理科打印2017届毕业生毕业证书、学士学位证书。</w:t>
            </w:r>
          </w:p>
          <w:p>
            <w:pPr>
              <w:spacing w:line="300" w:lineRule="exact"/>
              <w:ind w:leftChars="-51" w:hanging="107" w:hangingChars="52"/>
              <w:rPr>
                <w:rFonts w:hint="eastAsia" w:ascii="宋体" w:hAnsi="宋体"/>
                <w:color w:val="000000"/>
                <w:spacing w:val="-2"/>
                <w:kern w:val="0"/>
                <w:szCs w:val="25"/>
              </w:rPr>
            </w:pPr>
            <w:r>
              <w:rPr>
                <w:rFonts w:hint="eastAsia" w:ascii="宋体" w:hAnsi="宋体"/>
                <w:color w:val="000000"/>
                <w:spacing w:val="-2"/>
                <w:kern w:val="0"/>
                <w:szCs w:val="25"/>
              </w:rPr>
              <w:t>2．各学院派学生（按每专业派5人）到学籍管理科贴证书照片，并配合毕业证、学位证盖印；</w:t>
            </w:r>
          </w:p>
          <w:p>
            <w:pPr>
              <w:spacing w:line="300" w:lineRule="exact"/>
              <w:ind w:left="2" w:leftChars="-51" w:hanging="109" w:hangingChars="52"/>
              <w:rPr>
                <w:rFonts w:hint="eastAsia" w:ascii="宋体" w:hAnsi="宋体"/>
                <w:color w:val="000000"/>
                <w:spacing w:val="-2"/>
                <w:kern w:val="0"/>
                <w:szCs w:val="25"/>
              </w:rPr>
            </w:pPr>
            <w:r>
              <w:rPr>
                <w:rFonts w:hint="eastAsia" w:ascii="宋体" w:hAnsi="宋体"/>
                <w:color w:val="000000"/>
                <w:szCs w:val="25"/>
              </w:rPr>
              <w:t>3.</w:t>
            </w:r>
            <w:r>
              <w:rPr>
                <w:rFonts w:hint="eastAsia" w:ascii="宋体" w:hAnsi="宋体"/>
                <w:color w:val="000000"/>
                <w:spacing w:val="-2"/>
                <w:kern w:val="0"/>
                <w:szCs w:val="25"/>
              </w:rPr>
              <w:t xml:space="preserve"> 办理双学位教育的学院也须派出两人配合进行辅修学位证、辅修证书的照片粘贴和盖印；</w:t>
            </w:r>
          </w:p>
          <w:p>
            <w:pPr>
              <w:spacing w:line="300" w:lineRule="exact"/>
              <w:ind w:leftChars="-51" w:hanging="107" w:hangingChars="52"/>
              <w:rPr>
                <w:rFonts w:hint="eastAsia" w:ascii="宋体" w:hAnsi="宋体"/>
                <w:color w:val="000000"/>
                <w:spacing w:val="-2"/>
                <w:kern w:val="0"/>
                <w:szCs w:val="25"/>
              </w:rPr>
            </w:pPr>
            <w:r>
              <w:rPr>
                <w:rFonts w:hint="eastAsia" w:ascii="宋体" w:hAnsi="宋体"/>
                <w:color w:val="000000"/>
                <w:spacing w:val="-2"/>
                <w:kern w:val="0"/>
                <w:szCs w:val="25"/>
              </w:rPr>
              <w:t>4. 各学院派辅导员到学籍管理科领取并核对第一批毕业证书、学士学位证书。</w:t>
            </w:r>
          </w:p>
        </w:tc>
      </w:tr>
      <w:tr>
        <w:tblPrEx>
          <w:tblCellMar>
            <w:top w:w="0" w:type="dxa"/>
            <w:left w:w="108" w:type="dxa"/>
            <w:bottom w:w="0" w:type="dxa"/>
            <w:right w:w="108" w:type="dxa"/>
          </w:tblCellMar>
        </w:tblPrEx>
        <w:trPr>
          <w:cantSplit/>
          <w:trHeight w:val="929" w:hRule="atLeast"/>
        </w:trPr>
        <w:tc>
          <w:tcPr>
            <w:tcW w:w="828"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color w:val="000000"/>
              </w:rPr>
            </w:pPr>
            <w:r>
              <w:rPr>
                <w:rFonts w:hint="eastAsia"/>
                <w:color w:val="000000"/>
              </w:rPr>
              <w:t>18</w:t>
            </w:r>
          </w:p>
        </w:tc>
        <w:tc>
          <w:tcPr>
            <w:tcW w:w="1080" w:type="dxa"/>
            <w:tcBorders>
              <w:top w:val="single" w:color="auto" w:sz="6" w:space="0"/>
              <w:left w:val="single" w:color="auto" w:sz="6" w:space="0"/>
              <w:right w:val="single" w:color="auto" w:sz="6" w:space="0"/>
            </w:tcBorders>
            <w:vAlign w:val="center"/>
          </w:tcPr>
          <w:p>
            <w:pPr>
              <w:spacing w:line="300" w:lineRule="exact"/>
              <w:rPr>
                <w:rFonts w:hint="eastAsia"/>
                <w:color w:val="000000"/>
              </w:rPr>
            </w:pPr>
            <w:r>
              <w:rPr>
                <w:color w:val="000000"/>
              </w:rPr>
              <w:t>6</w:t>
            </w:r>
            <w:r>
              <w:rPr>
                <w:rFonts w:hint="eastAsia"/>
                <w:color w:val="000000"/>
              </w:rPr>
              <w:t>.26-7.02</w:t>
            </w:r>
          </w:p>
        </w:tc>
        <w:tc>
          <w:tcPr>
            <w:tcW w:w="9180" w:type="dxa"/>
            <w:tcBorders>
              <w:top w:val="single" w:color="auto" w:sz="6" w:space="0"/>
              <w:left w:val="single" w:color="auto" w:sz="6" w:space="0"/>
              <w:right w:val="single" w:color="auto" w:sz="6" w:space="0"/>
            </w:tcBorders>
            <w:vAlign w:val="top"/>
          </w:tcPr>
          <w:p>
            <w:pPr>
              <w:spacing w:line="300" w:lineRule="exact"/>
              <w:ind w:left="-90"/>
              <w:rPr>
                <w:rFonts w:hint="eastAsia" w:ascii="宋体" w:hAnsi="宋体"/>
                <w:color w:val="000000"/>
                <w:spacing w:val="-2"/>
                <w:kern w:val="0"/>
                <w:szCs w:val="25"/>
              </w:rPr>
            </w:pPr>
            <w:r>
              <w:rPr>
                <w:rFonts w:ascii="宋体" w:hAnsi="宋体"/>
                <w:color w:val="000000"/>
                <w:spacing w:val="-2"/>
                <w:kern w:val="0"/>
                <w:szCs w:val="25"/>
              </w:rPr>
              <w:t>1</w:t>
            </w:r>
            <w:r>
              <w:rPr>
                <w:rFonts w:hint="eastAsia" w:ascii="宋体" w:hAnsi="宋体"/>
                <w:color w:val="000000"/>
                <w:spacing w:val="-2"/>
                <w:kern w:val="0"/>
                <w:szCs w:val="25"/>
              </w:rPr>
              <w:t xml:space="preserve">．各学院发放毕业证书、学士学位证书；                            </w:t>
            </w:r>
          </w:p>
          <w:p>
            <w:pPr>
              <w:spacing w:line="300" w:lineRule="exact"/>
              <w:ind w:left="-90"/>
              <w:jc w:val="left"/>
              <w:rPr>
                <w:rFonts w:hint="eastAsia" w:ascii="宋体" w:hAnsi="宋体"/>
                <w:color w:val="000000"/>
                <w:spacing w:val="-2"/>
                <w:kern w:val="0"/>
                <w:szCs w:val="25"/>
              </w:rPr>
            </w:pPr>
            <w:r>
              <w:rPr>
                <w:rFonts w:hint="eastAsia" w:ascii="宋体" w:hAnsi="宋体"/>
                <w:color w:val="000000"/>
                <w:spacing w:val="-2"/>
                <w:kern w:val="0"/>
                <w:szCs w:val="25"/>
              </w:rPr>
              <w:t xml:space="preserve">2．学籍管理科整理毕业生毕业证、学位证的电子注册事项，进行毕业生即时电子注册工作； </w:t>
            </w:r>
          </w:p>
          <w:p>
            <w:pPr>
              <w:spacing w:line="300" w:lineRule="exact"/>
              <w:ind w:left="-90"/>
              <w:jc w:val="left"/>
              <w:rPr>
                <w:rFonts w:hint="eastAsia" w:ascii="宋体" w:hAnsi="宋体"/>
                <w:color w:val="000000"/>
                <w:spacing w:val="-2"/>
                <w:kern w:val="0"/>
                <w:szCs w:val="25"/>
              </w:rPr>
            </w:pPr>
            <w:r>
              <w:rPr>
                <w:rFonts w:hint="eastAsia" w:ascii="宋体" w:hAnsi="宋体"/>
                <w:color w:val="000000"/>
                <w:spacing w:val="-2"/>
                <w:kern w:val="0"/>
                <w:szCs w:val="25"/>
              </w:rPr>
              <w:t>3．学籍管理科继续受理延迟毕业学生的成绩录入和确认。</w:t>
            </w:r>
          </w:p>
        </w:tc>
      </w:tr>
      <w:tr>
        <w:tblPrEx>
          <w:tblCellMar>
            <w:top w:w="0" w:type="dxa"/>
            <w:left w:w="108" w:type="dxa"/>
            <w:bottom w:w="0" w:type="dxa"/>
            <w:right w:w="108" w:type="dxa"/>
          </w:tblCellMar>
        </w:tblPrEx>
        <w:trPr>
          <w:cantSplit/>
          <w:trHeight w:val="887" w:hRule="atLeast"/>
        </w:trPr>
        <w:tc>
          <w:tcPr>
            <w:tcW w:w="828" w:type="dxa"/>
            <w:tcBorders>
              <w:top w:val="single" w:color="auto" w:sz="4" w:space="0"/>
              <w:left w:val="single" w:color="auto" w:sz="6" w:space="0"/>
              <w:bottom w:val="single" w:color="auto" w:sz="4" w:space="0"/>
              <w:right w:val="single" w:color="auto" w:sz="6" w:space="0"/>
            </w:tcBorders>
            <w:vAlign w:val="center"/>
          </w:tcPr>
          <w:p>
            <w:pPr>
              <w:spacing w:line="300" w:lineRule="exact"/>
              <w:ind w:left="-90"/>
              <w:jc w:val="center"/>
              <w:rPr>
                <w:rFonts w:ascii="宋体" w:hAnsi="宋体"/>
                <w:color w:val="000000"/>
                <w:kern w:val="0"/>
              </w:rPr>
            </w:pPr>
            <w:r>
              <w:rPr>
                <w:rFonts w:hint="eastAsia"/>
                <w:color w:val="000000"/>
              </w:rPr>
              <w:t>19</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rPr>
                <w:color w:val="000000"/>
              </w:rPr>
            </w:pPr>
            <w:r>
              <w:rPr>
                <w:rFonts w:hint="eastAsia"/>
                <w:color w:val="000000"/>
              </w:rPr>
              <w:t>7.03</w:t>
            </w:r>
            <w:r>
              <w:rPr>
                <w:color w:val="000000"/>
              </w:rPr>
              <w:t>-</w:t>
            </w:r>
            <w:r>
              <w:rPr>
                <w:rFonts w:hint="eastAsia"/>
                <w:color w:val="000000"/>
              </w:rPr>
              <w:t>7.07</w:t>
            </w:r>
          </w:p>
        </w:tc>
        <w:tc>
          <w:tcPr>
            <w:tcW w:w="9180" w:type="dxa"/>
            <w:tcBorders>
              <w:top w:val="single" w:color="auto" w:sz="6" w:space="0"/>
              <w:left w:val="single" w:color="auto" w:sz="6" w:space="0"/>
              <w:bottom w:val="single" w:color="auto" w:sz="6" w:space="0"/>
              <w:right w:val="single" w:color="auto" w:sz="6" w:space="0"/>
            </w:tcBorders>
            <w:vAlign w:val="top"/>
          </w:tcPr>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1．学籍管理科打印2017届毕业生名册并归档；</w:t>
            </w:r>
          </w:p>
          <w:p>
            <w:pPr>
              <w:spacing w:line="300" w:lineRule="exact"/>
              <w:ind w:left="-90"/>
              <w:rPr>
                <w:rFonts w:hint="eastAsia" w:ascii="宋体" w:hAnsi="宋体"/>
                <w:color w:val="000000"/>
                <w:spacing w:val="-2"/>
                <w:kern w:val="0"/>
                <w:szCs w:val="25"/>
              </w:rPr>
            </w:pPr>
            <w:r>
              <w:rPr>
                <w:rFonts w:hint="eastAsia" w:ascii="宋体" w:hAnsi="宋体"/>
                <w:color w:val="000000"/>
                <w:spacing w:val="-2"/>
                <w:kern w:val="0"/>
                <w:szCs w:val="25"/>
              </w:rPr>
              <w:t>2．学籍管理科进行第二批毕业、学位审核，打印第二批毕业证书、学士学位证书。</w:t>
            </w:r>
          </w:p>
          <w:p>
            <w:pPr>
              <w:spacing w:line="300" w:lineRule="exact"/>
              <w:ind w:leftChars="-51" w:hanging="107" w:hangingChars="52"/>
              <w:rPr>
                <w:rFonts w:hint="eastAsia" w:ascii="宋体" w:hAnsi="宋体"/>
                <w:color w:val="000000"/>
                <w:spacing w:val="-2"/>
                <w:kern w:val="0"/>
                <w:szCs w:val="25"/>
              </w:rPr>
            </w:pPr>
            <w:r>
              <w:rPr>
                <w:rFonts w:hint="eastAsia" w:ascii="宋体" w:hAnsi="宋体"/>
                <w:color w:val="000000"/>
                <w:spacing w:val="-2"/>
                <w:kern w:val="0"/>
                <w:szCs w:val="25"/>
              </w:rPr>
              <w:t>3．各学院领取第二批毕业证、学位证并发放给学生。</w:t>
            </w:r>
          </w:p>
        </w:tc>
      </w:tr>
    </w:tbl>
    <w:p>
      <w:pPr>
        <w:rPr>
          <w:rFonts w:hint="eastAsia"/>
          <w:color w:val="000000"/>
        </w:rPr>
      </w:pPr>
    </w:p>
    <w:p>
      <w:bookmarkStart w:id="0" w:name="_GoBack"/>
      <w:bookmarkEnd w:id="0"/>
    </w:p>
    <w:sectPr>
      <w:pgSz w:w="11906" w:h="16838"/>
      <w:pgMar w:top="312" w:right="1134" w:bottom="17"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YWQ0OTJhZWM4NjUwYzE0ZmRiMjVmZGMxMTZhYTMifQ=="/>
  </w:docVars>
  <w:rsids>
    <w:rsidRoot w:val="1B7E11C9"/>
    <w:rsid w:val="1B7E11C9"/>
    <w:rsid w:val="229D1F10"/>
    <w:rsid w:val="5ADC45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1669</Words>
  <Characters>1836</Characters>
  <Lines>0</Lines>
  <Paragraphs>0</Paragraphs>
  <TotalTime>0</TotalTime>
  <ScaleCrop>false</ScaleCrop>
  <LinksUpToDate>false</LinksUpToDate>
  <CharactersWithSpaces>1921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2017-03-10T00:37:00Z</dcterms:created>
  <dc:creator>jwc2</dc:creator>
  <cp:lastModifiedBy>教务处</cp:lastModifiedBy>
  <dcterms:modified xsi:type="dcterms:W3CDTF">2023-04-24T13:10:57Z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24C7F9048FC646CF8871A6ED6B904723_12</vt:lpwstr>
  </property>
</Properties>
</file>